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20" w:name="_GoBack"/>
      <w:bookmarkEnd w:id="2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28"/>
          <w:szCs w:val="28"/>
        </w:rPr>
        <w:t>木垒哈萨克自治县中等职业技术学校2023年学生资助补助经费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rPr>
        <w:t>木垒哈萨克自治县中等职业技术学校</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rPr>
        <w:t>木垒哈萨克自治县中等职业技术学校</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杨琳</w:t>
      </w:r>
    </w:p>
    <w:p>
      <w:pPr>
        <w:spacing w:line="540" w:lineRule="exact"/>
        <w:ind w:left="273" w:firstLine="567"/>
        <w:rPr>
          <w:rStyle w:val="11"/>
          <w:rFonts w:hint="eastAsia" w:ascii="楷体" w:hAnsi="楷体" w:eastAsia="楷体"/>
          <w:spacing w:val="-4"/>
          <w:sz w:val="32"/>
          <w:szCs w:val="32"/>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2024年03月25日</w:t>
      </w:r>
    </w:p>
    <w:p>
      <w:pPr>
        <w:pStyle w:val="2"/>
        <w:spacing w:line="360" w:lineRule="auto"/>
        <w:rPr>
          <w:rFonts w:ascii="仿宋_GB2312" w:hAnsi="黑体"/>
          <w:b w:val="0"/>
          <w:bCs w:val="0"/>
        </w:rPr>
      </w:pPr>
      <w:r>
        <w:rPr>
          <w:rFonts w:hint="eastAsia" w:ascii="仿宋_GB2312" w:hAnsi="黑体"/>
          <w:b w:val="0"/>
          <w:bCs w:val="0"/>
        </w:rPr>
        <w:t>一、基本情况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pPr>
        <w:spacing w:line="360" w:lineRule="auto"/>
        <w:rPr>
          <w:rFonts w:hint="eastAsia" w:ascii="仿宋_GB2312" w:hAnsi="黑体"/>
        </w:rPr>
      </w:pPr>
      <w:r>
        <w:rPr>
          <w:rFonts w:hint="eastAsia" w:ascii="仿宋_GB2312" w:hAnsi="黑体"/>
        </w:rPr>
        <w:t>1.项目背景</w:t>
      </w:r>
    </w:p>
    <w:p>
      <w:pPr>
        <w:spacing w:line="360" w:lineRule="auto"/>
        <w:ind w:firstLine="600" w:firstLineChars="200"/>
        <w:rPr>
          <w:rFonts w:hint="eastAsia" w:ascii="仿宋_GB2312" w:hAnsi="黑体"/>
        </w:rPr>
      </w:pPr>
      <w:r>
        <w:rPr>
          <w:rFonts w:hint="eastAsia" w:ascii="仿宋_GB2312" w:hAnsi="黑体"/>
        </w:rPr>
        <w:t>202</w:t>
      </w:r>
      <w:r>
        <w:rPr>
          <w:rFonts w:hint="eastAsia" w:ascii="仿宋_GB2312" w:hAnsi="黑体"/>
          <w:lang w:val="en-US" w:eastAsia="zh-CN"/>
        </w:rPr>
        <w:t>3</w:t>
      </w:r>
      <w:r>
        <w:rPr>
          <w:rFonts w:hint="eastAsia" w:ascii="仿宋_GB2312" w:hAnsi="黑体"/>
        </w:rPr>
        <w:t>年，木垒哈萨克自治县中等职业技术学校依据昌州财教【2022】76号2023年学生资助补助经费专项文件，严格按照</w:t>
      </w:r>
      <w:r>
        <w:rPr>
          <w:rFonts w:hint="eastAsia" w:ascii="仿宋_GB2312" w:hAnsi="黑体"/>
          <w:lang w:eastAsia="zh-CN"/>
        </w:rPr>
        <w:t>中央八项规定</w:t>
      </w:r>
      <w:r>
        <w:rPr>
          <w:rFonts w:hint="eastAsia" w:ascii="仿宋_GB2312" w:hAnsi="黑体"/>
        </w:rPr>
        <w:t>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44.85万元，使用44.85万元。</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黑体"/>
        </w:rPr>
      </w:pPr>
      <w:r>
        <w:rPr>
          <w:rFonts w:hint="eastAsia" w:ascii="仿宋_GB2312" w:hAnsi="黑体"/>
        </w:rPr>
        <w:t>现代职业教育发展离不开完备的体系，这种纵向贯通、横向融通的教育体系是提升人力资本水平和推动人的全面发展的重要路径。在深化教育供给侧结构性改革的背景下，需要提高职业教育供给适应引领创造新需求的能力。这就要求在普职等值和中高衔接的理念指导下，延伸职业教育发展链条，构建现代职业教育体系，以适应广大职业教育受教育者的个性化、差异化、品质化需求，持续扩大优质职业教育服务供给。其中，既要稳步发展职业本科教育，也要发挥专科高等职业教育的骨干作用，并夯实中等职业教育的基础地位，重视培训体系建设，开展高质量培训。</w:t>
      </w:r>
    </w:p>
    <w:p>
      <w:pPr>
        <w:spacing w:line="360" w:lineRule="auto"/>
        <w:ind w:firstLine="600" w:firstLineChars="200"/>
        <w:rPr>
          <w:rFonts w:hint="eastAsia" w:ascii="仿宋_GB2312" w:hAnsi="黑体"/>
          <w:highlight w:val="none"/>
        </w:rPr>
      </w:pPr>
      <w:r>
        <w:rPr>
          <w:rFonts w:hint="eastAsia" w:ascii="仿宋_GB2312" w:hAnsi="黑体"/>
          <w:highlight w:val="none"/>
        </w:rPr>
        <w:t>2.项目主要内容</w:t>
      </w:r>
    </w:p>
    <w:p>
      <w:pPr>
        <w:spacing w:line="360" w:lineRule="auto"/>
        <w:ind w:firstLine="600" w:firstLineChars="200"/>
        <w:rPr>
          <w:rFonts w:hint="eastAsia" w:ascii="仿宋_GB2312" w:hAnsi="黑体"/>
        </w:rPr>
      </w:pPr>
      <w:r>
        <w:rPr>
          <w:rFonts w:hint="eastAsia" w:ascii="仿宋_GB2312" w:hAnsi="黑体"/>
          <w:lang w:val="en-US" w:eastAsia="zh-CN"/>
        </w:rPr>
        <w:t>根据</w:t>
      </w:r>
      <w:r>
        <w:rPr>
          <w:rFonts w:hint="eastAsia" w:ascii="仿宋_GB2312" w:hAnsi="黑体"/>
        </w:rPr>
        <w:t>昌州财教【2022】76号</w:t>
      </w:r>
      <w:r>
        <w:rPr>
          <w:rFonts w:hint="eastAsia" w:ascii="仿宋_GB2312" w:hAnsi="黑体"/>
          <w:lang w:val="en-US" w:eastAsia="zh-CN"/>
        </w:rPr>
        <w:t>文件批复，下达我单位</w:t>
      </w:r>
      <w:r>
        <w:rPr>
          <w:rFonts w:hint="eastAsia" w:ascii="仿宋_GB2312" w:hAnsi="黑体"/>
        </w:rPr>
        <w:t>2023年学生资助补助经费</w:t>
      </w:r>
      <w:r>
        <w:rPr>
          <w:rFonts w:hint="eastAsia" w:ascii="仿宋_GB2312" w:hAnsi="黑体"/>
          <w:lang w:val="en-US" w:eastAsia="zh-CN"/>
        </w:rPr>
        <w:t>项目资金44.85万元，</w:t>
      </w:r>
      <w:r>
        <w:rPr>
          <w:rFonts w:hint="eastAsia" w:ascii="仿宋_GB2312" w:hAnsi="黑体"/>
        </w:rPr>
        <w:t>项目资金主要用于</w:t>
      </w:r>
      <w:r>
        <w:rPr>
          <w:rFonts w:hint="eastAsia" w:ascii="仿宋_GB2312" w:hAnsi="黑体"/>
          <w:lang w:val="en-US" w:eastAsia="zh-CN"/>
        </w:rPr>
        <w:t>2023年单位</w:t>
      </w:r>
      <w:r>
        <w:rPr>
          <w:rFonts w:hint="eastAsia" w:ascii="仿宋_GB2312" w:hAnsi="黑体"/>
        </w:rPr>
        <w:t>工作经费支出</w:t>
      </w:r>
      <w:r>
        <w:rPr>
          <w:rFonts w:hint="eastAsia" w:ascii="仿宋_GB2312" w:hAnsi="黑体"/>
          <w:lang w:eastAsia="zh-CN"/>
        </w:rPr>
        <w:t>，</w:t>
      </w:r>
      <w:r>
        <w:rPr>
          <w:rFonts w:hint="eastAsia" w:ascii="仿宋_GB2312" w:hAnsi="黑体"/>
          <w:lang w:val="en-US" w:eastAsia="zh-CN"/>
        </w:rPr>
        <w:t>保证单位正常运转以及发放57名学生助学金</w:t>
      </w:r>
      <w:r>
        <w:rPr>
          <w:rFonts w:hint="eastAsia" w:ascii="仿宋_GB2312" w:hAnsi="黑体"/>
        </w:rPr>
        <w:t>费用的支出。</w:t>
      </w:r>
    </w:p>
    <w:p>
      <w:pPr>
        <w:spacing w:line="360" w:lineRule="auto"/>
        <w:ind w:firstLine="600" w:firstLineChars="200"/>
        <w:rPr>
          <w:rFonts w:hint="eastAsia" w:ascii="仿宋_GB2312" w:hAnsi="黑体"/>
        </w:rPr>
      </w:pPr>
      <w:r>
        <w:rPr>
          <w:rFonts w:hint="eastAsia" w:ascii="仿宋_GB2312" w:hAnsi="黑体"/>
        </w:rPr>
        <w:t>3.项目实施情况</w:t>
      </w:r>
    </w:p>
    <w:p>
      <w:pPr>
        <w:spacing w:line="360" w:lineRule="auto"/>
        <w:ind w:firstLine="600" w:firstLineChars="200"/>
        <w:rPr>
          <w:rFonts w:hint="eastAsia" w:ascii="仿宋_GB2312" w:hAnsi="黑体"/>
        </w:rPr>
      </w:pPr>
      <w:r>
        <w:rPr>
          <w:rFonts w:hint="eastAsia" w:ascii="仿宋_GB2312" w:hAnsi="黑体"/>
        </w:rPr>
        <w:t>自202</w:t>
      </w:r>
      <w:r>
        <w:rPr>
          <w:rFonts w:hint="eastAsia" w:ascii="仿宋_GB2312" w:hAnsi="黑体"/>
          <w:lang w:val="en-US" w:eastAsia="zh-CN"/>
        </w:rPr>
        <w:t>3</w:t>
      </w:r>
      <w:r>
        <w:rPr>
          <w:rFonts w:hint="eastAsia" w:ascii="仿宋_GB2312" w:hAnsi="黑体"/>
        </w:rPr>
        <w:t>年</w:t>
      </w:r>
      <w:r>
        <w:rPr>
          <w:rFonts w:hint="eastAsia" w:ascii="仿宋_GB2312" w:hAnsi="黑体"/>
          <w:lang w:val="en-US" w:eastAsia="zh-CN"/>
        </w:rPr>
        <w:t>1</w:t>
      </w:r>
      <w:r>
        <w:rPr>
          <w:rFonts w:hint="eastAsia" w:ascii="仿宋_GB2312" w:hAnsi="黑体"/>
        </w:rPr>
        <w:t>月29日开始，本项目由木垒哈萨克自治县中等职业技术学校牵头，主要对木垒哈萨克自治县中等职业技术学校</w:t>
      </w:r>
      <w:r>
        <w:rPr>
          <w:rFonts w:hint="eastAsia" w:ascii="仿宋_GB2312" w:hAnsi="黑体"/>
          <w:lang w:val="en-US" w:eastAsia="zh-CN"/>
        </w:rPr>
        <w:t>单位正常运转的经费开支以及发放助学金</w:t>
      </w:r>
      <w:r>
        <w:rPr>
          <w:rFonts w:hint="eastAsia" w:ascii="仿宋_GB2312" w:hAnsi="黑体"/>
        </w:rPr>
        <w:t>。</w:t>
      </w:r>
    </w:p>
    <w:p>
      <w:pPr>
        <w:spacing w:line="360" w:lineRule="auto"/>
        <w:ind w:firstLine="600" w:firstLineChars="200"/>
        <w:rPr>
          <w:rFonts w:hint="eastAsia" w:ascii="仿宋_GB2312" w:hAnsi="黑体"/>
          <w:color w:val="auto"/>
        </w:rPr>
      </w:pP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4</w:t>
      </w:r>
      <w:r>
        <w:rPr>
          <w:rFonts w:hint="eastAsia" w:ascii="仿宋_GB2312" w:hAnsi="黑体"/>
          <w:color w:val="auto"/>
        </w:rPr>
        <w:t>月，由</w:t>
      </w:r>
      <w:r>
        <w:rPr>
          <w:rFonts w:hint="eastAsia" w:ascii="仿宋_GB2312" w:hAnsi="黑体"/>
          <w:color w:val="auto"/>
          <w:lang w:val="en-US" w:eastAsia="zh-CN"/>
        </w:rPr>
        <w:t>班主任</w:t>
      </w:r>
      <w:r>
        <w:rPr>
          <w:rFonts w:hint="eastAsia" w:ascii="仿宋_GB2312" w:hAnsi="黑体"/>
          <w:color w:val="auto"/>
        </w:rPr>
        <w:t>上报经核实后的补助人员花名册，由</w:t>
      </w:r>
      <w:r>
        <w:rPr>
          <w:rFonts w:hint="eastAsia" w:ascii="仿宋_GB2312" w:hAnsi="黑体"/>
          <w:color w:val="auto"/>
          <w:lang w:val="en-US" w:eastAsia="zh-CN"/>
        </w:rPr>
        <w:t>资助办</w:t>
      </w:r>
      <w:r>
        <w:rPr>
          <w:rFonts w:hint="eastAsia" w:ascii="仿宋_GB2312" w:hAnsi="黑体"/>
          <w:color w:val="auto"/>
        </w:rPr>
        <w:t>进行确认审核后交由</w:t>
      </w:r>
      <w:r>
        <w:rPr>
          <w:rFonts w:hint="eastAsia" w:ascii="仿宋_GB2312" w:hAnsi="黑体"/>
          <w:color w:val="auto"/>
          <w:lang w:val="en-US" w:eastAsia="zh-CN"/>
        </w:rPr>
        <w:t>资助评定领导小组</w:t>
      </w:r>
      <w:r>
        <w:rPr>
          <w:rFonts w:hint="eastAsia" w:ascii="仿宋_GB2312" w:hAnsi="黑体"/>
          <w:color w:val="auto"/>
        </w:rPr>
        <w:t>部门</w:t>
      </w:r>
      <w:r>
        <w:rPr>
          <w:rFonts w:hint="eastAsia" w:ascii="仿宋_GB2312" w:hAnsi="黑体"/>
          <w:color w:val="auto"/>
          <w:lang w:val="en-US" w:eastAsia="zh-CN"/>
        </w:rPr>
        <w:t>进行评定后进行公示，</w:t>
      </w:r>
      <w:r>
        <w:rPr>
          <w:rFonts w:hint="eastAsia" w:ascii="仿宋_GB2312" w:hAnsi="黑体"/>
          <w:color w:val="auto"/>
        </w:rPr>
        <w:t>由</w:t>
      </w:r>
      <w:r>
        <w:rPr>
          <w:rFonts w:hint="eastAsia" w:ascii="仿宋_GB2312" w:hAnsi="黑体"/>
          <w:color w:val="auto"/>
          <w:lang w:val="en-US" w:eastAsia="zh-CN"/>
        </w:rPr>
        <w:t>曾凯军</w:t>
      </w:r>
      <w:r>
        <w:rPr>
          <w:rFonts w:hint="eastAsia" w:ascii="仿宋_GB2312" w:hAnsi="黑体"/>
          <w:color w:val="auto"/>
        </w:rPr>
        <w:t>审批后交财务室，由财务室人员复核后将补助资金发放至各补助人员银行卡内，项目于</w:t>
      </w: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12</w:t>
      </w:r>
      <w:r>
        <w:rPr>
          <w:rFonts w:hint="eastAsia" w:ascii="仿宋_GB2312" w:hAnsi="黑体"/>
          <w:color w:val="auto"/>
        </w:rPr>
        <w:t>月</w:t>
      </w:r>
      <w:r>
        <w:rPr>
          <w:rFonts w:hint="eastAsia" w:ascii="仿宋_GB2312" w:hAnsi="黑体"/>
          <w:color w:val="auto"/>
          <w:lang w:val="en-US" w:eastAsia="zh-CN"/>
        </w:rPr>
        <w:t>31</w:t>
      </w:r>
      <w:r>
        <w:rPr>
          <w:rFonts w:hint="eastAsia" w:ascii="仿宋_GB2312" w:hAnsi="黑体"/>
          <w:color w:val="auto"/>
        </w:rPr>
        <w:t>日已执行完毕。</w:t>
      </w:r>
    </w:p>
    <w:p>
      <w:pPr>
        <w:spacing w:line="360" w:lineRule="auto"/>
        <w:ind w:firstLine="600" w:firstLineChars="200"/>
        <w:rPr>
          <w:rFonts w:ascii="仿宋_GB2312" w:hAnsi="黑体"/>
        </w:rPr>
      </w:pPr>
      <w:r>
        <w:rPr>
          <w:rFonts w:hint="eastAsia" w:ascii="仿宋_GB2312" w:hAnsi="黑体"/>
        </w:rPr>
        <w:t>4.资金投入和使用情况</w:t>
      </w:r>
    </w:p>
    <w:p>
      <w:pPr>
        <w:spacing w:line="360" w:lineRule="auto"/>
        <w:ind w:firstLine="600" w:firstLineChars="200"/>
        <w:rPr>
          <w:rFonts w:ascii="仿宋_GB2312" w:hAnsi="黑体"/>
        </w:rPr>
      </w:pPr>
      <w:r>
        <w:rPr>
          <w:rFonts w:hint="eastAsia" w:ascii="仿宋_GB2312" w:hAnsi="黑体"/>
        </w:rPr>
        <w:t>2023年学生资助补助经费项目资金于</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en-US" w:eastAsia="zh-CN"/>
        </w:rPr>
        <w:t>新疆维吾尔自治区</w:t>
      </w:r>
      <w:r>
        <w:rPr>
          <w:rFonts w:hint="eastAsia" w:ascii="仿宋_GB2312" w:hAnsi="黑体"/>
        </w:rPr>
        <w:t>财政局下发的昌州财教【2022】76号文件安排资金为44.85万元，为上级财政资金，实际到位率44.85万元，资金到位率</w:t>
      </w:r>
      <w:r>
        <w:rPr>
          <w:rFonts w:hint="eastAsia" w:ascii="仿宋_GB2312" w:hAnsi="黑体"/>
          <w:lang w:val="en-US" w:eastAsia="zh-CN"/>
        </w:rPr>
        <w:t>100</w:t>
      </w:r>
      <w:r>
        <w:rPr>
          <w:rFonts w:hint="eastAsia" w:ascii="仿宋_GB2312" w:hAnsi="黑体"/>
        </w:rPr>
        <w:t>%，实际执行44.85万元，执行率</w:t>
      </w:r>
      <w:r>
        <w:rPr>
          <w:rFonts w:hint="eastAsia" w:ascii="仿宋_GB2312" w:hAnsi="黑体"/>
          <w:lang w:val="en-US" w:eastAsia="zh-CN"/>
        </w:rPr>
        <w:t>100</w:t>
      </w:r>
      <w:r>
        <w:rPr>
          <w:rFonts w:hint="eastAsia" w:ascii="仿宋_GB2312" w:hAnsi="黑体"/>
        </w:rPr>
        <w:t>%，资金落实到位。为确保项目资金的安全有效使用、安全运行，提高资金的使用效率，我单位严格按照木垒哈萨克自治县中等职业技术学校财务会计内部控制制度执行，资金由财政大平台统一拨付，由财政监管，严禁随意调整预算，改变支出用途，做到专款专用，严禁截留、挪用、挤占项目资金等违规违纪问题的发生。</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pPr>
        <w:spacing w:line="360" w:lineRule="auto"/>
        <w:ind w:left="600"/>
        <w:rPr>
          <w:rFonts w:ascii="仿宋_GB2312" w:hAnsi="黑体"/>
          <w:highlight w:val="yellow"/>
        </w:rPr>
      </w:pPr>
      <w:r>
        <w:rPr>
          <w:rFonts w:hint="eastAsia" w:ascii="仿宋_GB2312" w:hAnsi="黑体"/>
        </w:rPr>
        <w:t>1.总体目标</w:t>
      </w:r>
    </w:p>
    <w:p>
      <w:pPr>
        <w:spacing w:line="360" w:lineRule="auto"/>
        <w:ind w:firstLine="600" w:firstLineChars="200"/>
        <w:rPr>
          <w:rFonts w:hint="eastAsia" w:ascii="仿宋_GB2312" w:hAnsi="黑体"/>
          <w:color w:val="000000" w:themeColor="text1"/>
          <w14:textFill>
            <w14:solidFill>
              <w14:schemeClr w14:val="tx1"/>
            </w14:solidFill>
          </w14:textFill>
        </w:rPr>
      </w:pPr>
      <w:r>
        <w:rPr>
          <w:rFonts w:hint="eastAsia" w:ascii="仿宋_GB2312" w:hAnsi="黑体"/>
          <w:color w:val="000000" w:themeColor="text1"/>
          <w14:textFill>
            <w14:solidFill>
              <w14:schemeClr w14:val="tx1"/>
            </w14:solidFill>
          </w14:textFill>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p>
      <w:pPr>
        <w:spacing w:line="360" w:lineRule="auto"/>
        <w:ind w:firstLine="600" w:firstLineChars="200"/>
        <w:rPr>
          <w:rFonts w:ascii="仿宋_GB2312" w:hAnsi="黑体"/>
        </w:rPr>
      </w:pPr>
      <w:r>
        <w:rPr>
          <w:rFonts w:hint="eastAsia" w:ascii="仿宋_GB2312" w:hAnsi="黑体"/>
        </w:rPr>
        <w:t>2.阶段性目标</w:t>
      </w:r>
    </w:p>
    <w:p>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2.1 2023年5月1日前完成助学金评定工作；</w:t>
      </w:r>
    </w:p>
    <w:p>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2.2 2023年12月31日前完成助学金发放工作；</w:t>
      </w:r>
    </w:p>
    <w:p>
      <w:pPr>
        <w:pStyle w:val="2"/>
        <w:spacing w:line="360" w:lineRule="auto"/>
        <w:rPr>
          <w:rFonts w:ascii="仿宋_GB2312" w:hAnsi="黑体"/>
          <w:b w:val="0"/>
          <w:bCs w:val="0"/>
        </w:rPr>
      </w:pPr>
      <w:r>
        <w:rPr>
          <w:rFonts w:hint="eastAsia" w:ascii="仿宋_GB2312" w:hAnsi="黑体"/>
          <w:b w:val="0"/>
          <w:bCs w:val="0"/>
        </w:rPr>
        <w:t>二、绩效评价工作开展情况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sz w:val="32"/>
          <w:szCs w:val="32"/>
        </w:rPr>
        <w:t>通过对2023年度</w:t>
      </w:r>
      <w:r>
        <w:rPr>
          <w:rFonts w:hint="eastAsia" w:ascii="仿宋_GB2312" w:hAnsi="黑体" w:cs="仿宋"/>
          <w:sz w:val="32"/>
          <w:szCs w:val="32"/>
          <w:lang w:val="en-US" w:eastAsia="zh-CN"/>
        </w:rPr>
        <w:t>上</w:t>
      </w:r>
      <w:r>
        <w:rPr>
          <w:rFonts w:hint="eastAsia" w:ascii="仿宋_GB2312" w:hAnsi="黑体" w:cs="仿宋"/>
          <w:sz w:val="32"/>
          <w:szCs w:val="32"/>
        </w:rPr>
        <w:t>级财政下拨的木垒哈萨克自治县中等职业技术学校2023年学生资助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2.绩效评价对象</w:t>
      </w:r>
    </w:p>
    <w:p>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木垒哈萨克自治县中等职业技术学校2023年学生资助补助经费项目支出资金。</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本次评价主要对木垒哈萨克自治县中等职业技术学校2023年学生资助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pPr>
        <w:spacing w:line="360" w:lineRule="auto"/>
        <w:ind w:firstLine="600" w:firstLineChars="200"/>
        <w:rPr>
          <w:rFonts w:ascii="仿宋_GB2312" w:hAnsi="黑体"/>
        </w:rPr>
      </w:pPr>
      <w:r>
        <w:rPr>
          <w:rFonts w:hint="eastAsia" w:ascii="仿宋_GB2312" w:hAnsi="黑体"/>
        </w:rPr>
        <w:t>1.绩效评价原则</w:t>
      </w:r>
    </w:p>
    <w:p>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pPr>
        <w:spacing w:line="360" w:lineRule="auto"/>
        <w:ind w:firstLine="600" w:firstLineChars="200"/>
        <w:rPr>
          <w:rFonts w:ascii="仿宋_GB2312" w:hAnsi="黑体"/>
        </w:rPr>
      </w:pPr>
    </w:p>
    <w:p>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pPr>
        <w:spacing w:line="360" w:lineRule="auto"/>
        <w:ind w:left="600" w:leftChars="200"/>
        <w:rPr>
          <w:rFonts w:ascii="仿宋_GB2312" w:hAnsi="黑体"/>
        </w:rPr>
      </w:pPr>
      <w:r>
        <w:rPr>
          <w:rFonts w:hint="eastAsia" w:ascii="仿宋_GB2312" w:hAnsi="黑体"/>
        </w:rPr>
        <w:t>（3）分级分类原则。坚持根据评价对象的特点分类组织实施。</w:t>
      </w:r>
    </w:p>
    <w:p>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pPr>
        <w:spacing w:line="360" w:lineRule="auto"/>
        <w:ind w:left="600" w:leftChars="200"/>
        <w:rPr>
          <w:rFonts w:ascii="仿宋_GB2312" w:hAnsi="黑体"/>
        </w:rPr>
      </w:pPr>
      <w:r>
        <w:rPr>
          <w:rFonts w:hint="eastAsia" w:ascii="仿宋_GB2312" w:hAnsi="黑体"/>
        </w:rPr>
        <w:t>2.评价指标体系</w:t>
      </w:r>
    </w:p>
    <w:p>
      <w:pPr>
        <w:pStyle w:val="14"/>
        <w:spacing w:line="360" w:lineRule="auto"/>
        <w:ind w:left="360" w:firstLine="600"/>
        <w:rPr>
          <w:rFonts w:ascii="仿宋_GB2312" w:hAnsi="黑体"/>
        </w:rPr>
      </w:pP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pPr>
        <w:spacing w:line="360" w:lineRule="auto"/>
        <w:ind w:firstLine="600" w:firstLineChars="200"/>
        <w:rPr>
          <w:rFonts w:ascii="仿宋_GB2312" w:hAnsi="黑体"/>
        </w:rPr>
      </w:pPr>
      <w:r>
        <w:rPr>
          <w:rFonts w:hint="eastAsia" w:ascii="仿宋_GB2312" w:hAnsi="黑体"/>
        </w:rPr>
        <w:t>3.评价方法</w:t>
      </w:r>
    </w:p>
    <w:p>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pPr>
        <w:spacing w:line="360" w:lineRule="auto"/>
        <w:ind w:firstLine="600" w:firstLineChars="200"/>
        <w:rPr>
          <w:rFonts w:ascii="仿宋_GB2312" w:hAnsi="黑体"/>
          <w:highlight w:val="none"/>
        </w:rPr>
      </w:pPr>
      <w:r>
        <w:rPr>
          <w:rFonts w:ascii="仿宋_GB2312" w:hAnsi="黑体"/>
          <w:highlight w:val="none"/>
        </w:rPr>
        <w:t>4.</w:t>
      </w:r>
      <w:r>
        <w:rPr>
          <w:rFonts w:hint="eastAsia" w:ascii="仿宋_GB2312" w:hAnsi="黑体"/>
          <w:highlight w:val="none"/>
        </w:rPr>
        <w:t>评价标准</w:t>
      </w:r>
    </w:p>
    <w:p>
      <w:pPr>
        <w:spacing w:line="360" w:lineRule="auto"/>
        <w:ind w:firstLine="600" w:firstLineChars="200"/>
        <w:rPr>
          <w:rFonts w:ascii="仿宋_GB2312" w:hAnsi="黑体"/>
          <w:highlight w:val="none"/>
        </w:rPr>
      </w:pPr>
      <w:r>
        <w:rPr>
          <w:rFonts w:hint="eastAsia" w:ascii="仿宋_GB2312" w:hAnsi="黑体"/>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spacing w:line="360" w:lineRule="auto"/>
        <w:ind w:firstLine="600" w:firstLineChars="200"/>
        <w:rPr>
          <w:rFonts w:ascii="仿宋_GB2312" w:hAnsi="黑体"/>
          <w:highlight w:val="none"/>
        </w:rPr>
      </w:pPr>
      <w:r>
        <w:rPr>
          <w:rFonts w:hint="eastAsia" w:ascii="仿宋_GB2312" w:hAnsi="黑体"/>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360" w:lineRule="auto"/>
        <w:ind w:firstLine="600" w:firstLineChars="200"/>
        <w:rPr>
          <w:rFonts w:ascii="仿宋_GB2312" w:hAnsi="黑体"/>
          <w:highlight w:val="none"/>
        </w:rPr>
      </w:pPr>
      <w:r>
        <w:rPr>
          <w:rFonts w:hint="eastAsia" w:ascii="仿宋_GB2312" w:hAnsi="黑体"/>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pPr>
        <w:spacing w:line="360" w:lineRule="auto"/>
        <w:ind w:firstLine="600" w:firstLineChars="200"/>
        <w:rPr>
          <w:rFonts w:ascii="仿宋_GB2312" w:hAnsi="黑体"/>
        </w:rPr>
      </w:pPr>
      <w:r>
        <w:rPr>
          <w:rFonts w:hint="eastAsia" w:ascii="仿宋_GB2312" w:hAnsi="黑体"/>
        </w:rPr>
        <w:t>1.前期准备</w:t>
      </w:r>
    </w:p>
    <w:p>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w:t>
      </w:r>
      <w:r>
        <w:rPr>
          <w:rFonts w:hint="eastAsia" w:ascii="仿宋_GB2312" w:hAnsi="黑体"/>
          <w:lang w:val="en-US" w:eastAsia="zh-CN"/>
        </w:rPr>
        <w:t>曾凯军</w:t>
      </w:r>
      <w:r>
        <w:rPr>
          <w:rFonts w:hint="eastAsia" w:ascii="仿宋_GB2312" w:hAnsi="黑体"/>
        </w:rPr>
        <w:t>为组长，主要负责工作安排，</w:t>
      </w:r>
      <w:r>
        <w:rPr>
          <w:rFonts w:hint="eastAsia" w:ascii="仿宋_GB2312" w:hAnsi="黑体"/>
          <w:lang w:val="en-US" w:eastAsia="zh-CN"/>
        </w:rPr>
        <w:t>巴哈依古丽</w:t>
      </w:r>
      <w:r>
        <w:rPr>
          <w:rFonts w:hint="eastAsia" w:ascii="仿宋_GB2312" w:hAnsi="黑体"/>
        </w:rPr>
        <w:t>为副组长，主要负责报告的审核、指导，</w:t>
      </w:r>
      <w:r>
        <w:rPr>
          <w:rFonts w:hint="eastAsia" w:ascii="仿宋_GB2312" w:hAnsi="黑体"/>
          <w:lang w:val="en-US" w:eastAsia="zh-CN"/>
        </w:rPr>
        <w:t>王云</w:t>
      </w:r>
      <w:r>
        <w:rPr>
          <w:rFonts w:hint="eastAsia" w:ascii="仿宋_GB2312" w:hAnsi="黑体"/>
        </w:rPr>
        <w:t>组员负责资料、数据整理，编制报告。小组制定了项目评价的工作思路及工作安排，参考学习了相关政策制度、实施方案和相关的工作文件，为评价工作的开展提供工作指引。</w:t>
      </w:r>
    </w:p>
    <w:p>
      <w:pPr>
        <w:pStyle w:val="14"/>
        <w:numPr>
          <w:ilvl w:val="1"/>
          <w:numId w:val="1"/>
        </w:numPr>
        <w:spacing w:line="360" w:lineRule="auto"/>
        <w:ind w:firstLineChars="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15</w:t>
      </w:r>
      <w:r>
        <w:rPr>
          <w:rFonts w:hint="eastAsia" w:ascii="仿宋_GB2312" w:hAnsi="黑体"/>
        </w:rPr>
        <w:t>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pPr>
        <w:pStyle w:val="14"/>
        <w:numPr>
          <w:ilvl w:val="1"/>
          <w:numId w:val="1"/>
        </w:numPr>
        <w:spacing w:line="360" w:lineRule="auto"/>
        <w:ind w:firstLineChars="0"/>
        <w:rPr>
          <w:rFonts w:ascii="仿宋_GB2312" w:hAnsi="黑体"/>
        </w:rPr>
      </w:pPr>
      <w:r>
        <w:rPr>
          <w:rFonts w:hint="eastAsia" w:ascii="仿宋_GB2312" w:hAnsi="黑体"/>
        </w:rPr>
        <w:t xml:space="preserve"> 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2</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pPr>
        <w:spacing w:line="360" w:lineRule="auto"/>
        <w:rPr>
          <w:rFonts w:ascii="仿宋_GB2312" w:hAnsi="黑体"/>
        </w:rPr>
      </w:pPr>
      <w:r>
        <w:rPr>
          <w:rFonts w:hint="eastAsia" w:ascii="仿宋_GB2312" w:hAnsi="黑体"/>
        </w:rPr>
        <w:t>2.组织实施</w:t>
      </w:r>
    </w:p>
    <w:p>
      <w:pPr>
        <w:spacing w:line="360" w:lineRule="auto"/>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1</w:t>
      </w:r>
      <w:r>
        <w:rPr>
          <w:rFonts w:hint="eastAsia" w:ascii="仿宋_GB2312" w:hAnsi="黑体"/>
        </w:rPr>
        <w:t xml:space="preserve">日- </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31</w:t>
      </w:r>
      <w:r>
        <w:rPr>
          <w:rFonts w:hint="eastAsia" w:ascii="仿宋_GB2312" w:hAnsi="黑体"/>
        </w:rPr>
        <w:t>日，评价工作进入实施阶段：</w:t>
      </w:r>
    </w:p>
    <w:p>
      <w:pPr>
        <w:spacing w:line="360" w:lineRule="auto"/>
        <w:rPr>
          <w:rFonts w:ascii="仿宋_GB2312" w:hAnsi="黑体"/>
        </w:rPr>
      </w:pPr>
      <w:r>
        <w:rPr>
          <w:rFonts w:hint="eastAsia" w:ascii="仿宋_GB2312" w:hAnsi="黑体"/>
        </w:rPr>
        <w:t>2.1  评价组收集绩效评价相关数据资料，进行现场调研、座谈；</w:t>
      </w:r>
    </w:p>
    <w:p>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360" w:lineRule="auto"/>
        <w:rPr>
          <w:rFonts w:ascii="仿宋_GB2312" w:hAnsi="黑体"/>
        </w:rPr>
      </w:pPr>
    </w:p>
    <w:p>
      <w:pPr>
        <w:spacing w:line="360" w:lineRule="auto"/>
        <w:rPr>
          <w:rFonts w:ascii="仿宋_GB2312" w:hAnsi="黑体"/>
        </w:rPr>
      </w:pPr>
      <w:r>
        <w:rPr>
          <w:rFonts w:ascii="仿宋_GB2312" w:hAnsi="黑体"/>
        </w:rPr>
        <w:t>3.</w:t>
      </w:r>
      <w:r>
        <w:rPr>
          <w:rFonts w:hint="eastAsia" w:ascii="仿宋_GB2312" w:hAnsi="黑体"/>
        </w:rPr>
        <w:t>分析评价：</w:t>
      </w:r>
    </w:p>
    <w:p>
      <w:pPr>
        <w:spacing w:line="360" w:lineRule="auto"/>
        <w:ind w:firstLine="600" w:firstLineChars="20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年2月24日- 3月3日，评价组按照绩效评价的原则和规范，对取得的资料进行审查核实，对采集的数据进行分析，按照绩效评价指标评分表逐项进行打分、分析，汇总各方评价结果，综合分析并形成评价结论。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黑体"/>
          <w:color w:val="auto"/>
          <w:lang w:val="en-US" w:eastAsia="zh-CN"/>
        </w:rPr>
        <w:t>木垒县</w:t>
      </w:r>
      <w:r>
        <w:rPr>
          <w:rFonts w:hint="eastAsia" w:ascii="仿宋_GB2312" w:hAnsi="黑体"/>
        </w:rPr>
        <w:t>财政局。</w:t>
      </w:r>
    </w:p>
    <w:p>
      <w:pPr>
        <w:spacing w:line="360" w:lineRule="auto"/>
        <w:ind w:left="640"/>
        <w:rPr>
          <w:rFonts w:ascii="仿宋_GB2312" w:hAnsi="黑体"/>
        </w:rPr>
      </w:pPr>
      <w:r>
        <w:rPr>
          <w:rFonts w:ascii="仿宋_GB2312" w:hAnsi="黑体"/>
        </w:rPr>
        <w:t>5</w:t>
      </w:r>
      <w:r>
        <w:rPr>
          <w:rFonts w:hint="eastAsia" w:ascii="仿宋_GB2312" w:hAnsi="黑体"/>
        </w:rPr>
        <w:t>.资料归档</w:t>
      </w:r>
    </w:p>
    <w:p>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pPr>
        <w:pStyle w:val="2"/>
        <w:spacing w:line="360" w:lineRule="auto"/>
        <w:rPr>
          <w:rFonts w:ascii="仿宋_GB2312" w:hAnsi="黑体"/>
          <w:b w:val="0"/>
          <w:bCs w:val="0"/>
        </w:rPr>
      </w:pPr>
      <w:r>
        <w:rPr>
          <w:rFonts w:hint="eastAsia" w:ascii="仿宋_GB2312" w:hAnsi="黑体"/>
          <w:b w:val="0"/>
          <w:bCs w:val="0"/>
        </w:rPr>
        <w:t>三、综合评价情况及评价结论</w:t>
      </w:r>
    </w:p>
    <w:p>
      <w:r>
        <w:rPr>
          <w:rFonts w:hint="eastAsia"/>
        </w:rPr>
        <w:t>（一）综合评价情况及评价结论</w:t>
      </w:r>
    </w:p>
    <w:p>
      <w:pPr>
        <w:spacing w:line="360" w:lineRule="auto"/>
        <w:ind w:firstLine="640" w:firstLineChars="200"/>
        <w:rPr>
          <w:rFonts w:ascii="仿宋_GB2312" w:hAnsi="黑体"/>
        </w:rPr>
      </w:pPr>
      <w:r>
        <w:rPr>
          <w:rFonts w:hint="eastAsia" w:ascii="仿宋_GB2312" w:hAnsi="黑体" w:cs="仿宋"/>
          <w:sz w:val="32"/>
          <w:szCs w:val="32"/>
          <w:lang w:val="en-US" w:eastAsia="zh-CN"/>
        </w:rPr>
        <w:t>木垒县中等职业技术学校</w:t>
      </w:r>
      <w:r>
        <w:rPr>
          <w:rFonts w:hint="eastAsia" w:ascii="仿宋_GB2312" w:hAnsi="黑体" w:cs="仿宋"/>
          <w:sz w:val="32"/>
          <w:szCs w:val="32"/>
        </w:rPr>
        <w:t>主要负责项目实</w:t>
      </w:r>
      <w:r>
        <w:rPr>
          <w:rFonts w:hint="eastAsia" w:ascii="仿宋_GB2312" w:hAnsi="黑体"/>
        </w:rPr>
        <w:t>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w:t>
      </w:r>
      <w:r>
        <w:rPr>
          <w:rFonts w:hint="eastAsia" w:ascii="仿宋_GB2312" w:hAnsi="黑体" w:cs="仿宋"/>
          <w:sz w:val="32"/>
          <w:szCs w:val="32"/>
        </w:rPr>
        <w:t>分为91分</w:t>
      </w:r>
      <w:r>
        <w:rPr>
          <w:rFonts w:hint="eastAsia" w:ascii="仿宋_GB2312" w:hAnsi="黑体"/>
        </w:rPr>
        <w:t>。</w:t>
      </w:r>
    </w:p>
    <w:p>
      <w:pPr>
        <w:spacing w:line="360" w:lineRule="auto"/>
        <w:ind w:firstLine="600" w:firstLineChars="200"/>
        <w:rPr>
          <w:rFonts w:ascii="仿宋_GB2312" w:hAnsi="黑体"/>
        </w:rPr>
      </w:pPr>
      <w:r>
        <w:rPr>
          <w:rFonts w:hint="eastAsia" w:ascii="仿宋_GB2312" w:hAnsi="黑体"/>
        </w:rPr>
        <w:t>（二）相关评分表</w:t>
      </w:r>
    </w:p>
    <w:p>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91</w:t>
            </w:r>
          </w:p>
        </w:tc>
      </w:tr>
    </w:tbl>
    <w:p>
      <w:pPr>
        <w:pStyle w:val="2"/>
        <w:spacing w:line="360" w:lineRule="auto"/>
        <w:rPr>
          <w:rFonts w:ascii="仿宋_GB2312" w:hAnsi="黑体"/>
          <w:b w:val="0"/>
          <w:bCs w:val="0"/>
        </w:rPr>
      </w:pPr>
      <w:r>
        <w:rPr>
          <w:rFonts w:hint="eastAsia" w:ascii="仿宋_GB2312" w:hAnsi="黑体"/>
          <w:b w:val="0"/>
          <w:bCs w:val="0"/>
        </w:rPr>
        <w:t>四、绩效评价指标分析</w:t>
      </w:r>
    </w:p>
    <w:p>
      <w:pPr>
        <w:spacing w:line="360" w:lineRule="auto"/>
        <w:ind w:firstLine="643" w:firstLineChars="200"/>
        <w:rPr>
          <w:rFonts w:ascii="仿宋_GB2312" w:hAnsi="黑体"/>
        </w:rPr>
      </w:pPr>
      <w:r>
        <w:rPr>
          <w:rStyle w:val="16"/>
          <w:rFonts w:hint="eastAsia" w:ascii="仿宋_GB2312" w:hAnsi="黑体" w:eastAsia="仿宋_GB2312"/>
        </w:rPr>
        <w:t>（一）项目决策情况</w:t>
      </w:r>
    </w:p>
    <w:p>
      <w:pPr>
        <w:spacing w:line="360" w:lineRule="auto"/>
        <w:ind w:firstLine="600" w:firstLineChars="200"/>
        <w:rPr>
          <w:rFonts w:ascii="仿宋_GB2312" w:hAnsi="黑体"/>
        </w:rPr>
      </w:pPr>
      <w:r>
        <w:rPr>
          <w:rFonts w:hint="eastAsia" w:ascii="仿宋_GB2312" w:hAnsi="黑体"/>
        </w:rPr>
        <w:t>1.立项依据充分性</w:t>
      </w:r>
    </w:p>
    <w:p>
      <w:pPr>
        <w:spacing w:line="360" w:lineRule="auto"/>
        <w:ind w:left="600"/>
        <w:rPr>
          <w:rFonts w:ascii="仿宋_GB2312" w:hAnsi="黑体"/>
        </w:rPr>
      </w:pPr>
      <w:r>
        <w:rPr>
          <w:rFonts w:hint="eastAsia" w:ascii="仿宋_GB2312" w:hAnsi="黑体"/>
        </w:rPr>
        <w:t>（1）昌州财教【2022】76号2023年学生资助补助经费。</w:t>
      </w:r>
    </w:p>
    <w:p>
      <w:pPr>
        <w:spacing w:line="360" w:lineRule="auto"/>
        <w:ind w:firstLine="600" w:firstLineChars="200"/>
        <w:rPr>
          <w:rFonts w:ascii="仿宋_GB2312" w:hAnsi="黑体"/>
        </w:rPr>
      </w:pPr>
      <w:r>
        <w:rPr>
          <w:rFonts w:hint="eastAsia" w:ascii="仿宋_GB2312" w:hAnsi="黑体"/>
        </w:rPr>
        <w:t>2.立项程序规范性</w:t>
      </w:r>
    </w:p>
    <w:p>
      <w:pPr>
        <w:spacing w:line="360" w:lineRule="auto"/>
        <w:ind w:firstLine="600" w:firstLineChars="200"/>
        <w:rPr>
          <w:rFonts w:ascii="仿宋_GB2312" w:hAnsi="黑体"/>
        </w:rPr>
      </w:pPr>
      <w:r>
        <w:rPr>
          <w:rFonts w:hint="eastAsia" w:ascii="仿宋_GB2312" w:hAnsi="黑体"/>
        </w:rPr>
        <w:t>①项目立项程序：提报项目建议书、申请立项过程等均按照立项程序的相关规定进行；</w:t>
      </w:r>
    </w:p>
    <w:p>
      <w:pPr>
        <w:spacing w:line="360" w:lineRule="auto"/>
        <w:ind w:firstLine="600" w:firstLineChars="200"/>
        <w:rPr>
          <w:rFonts w:ascii="仿宋_GB2312" w:hAnsi="黑体"/>
        </w:rPr>
      </w:pPr>
      <w:r>
        <w:rPr>
          <w:rFonts w:hint="eastAsia" w:ascii="仿宋_GB2312" w:hAnsi="黑体"/>
        </w:rPr>
        <w:t>②审批文件、材料：本项目审批文件有：昌州财教【2022】76号2023年学生资助补助经费、审批文件及材料齐全；</w:t>
      </w:r>
    </w:p>
    <w:p>
      <w:pPr>
        <w:spacing w:line="360" w:lineRule="auto"/>
        <w:ind w:firstLine="600" w:firstLineChars="200"/>
        <w:rPr>
          <w:rFonts w:ascii="仿宋_GB2312" w:hAnsi="黑体"/>
        </w:rPr>
      </w:pPr>
      <w:r>
        <w:rPr>
          <w:rFonts w:hint="eastAsia" w:ascii="仿宋_GB2312" w:hAnsi="黑体"/>
        </w:rPr>
        <w:t>③项目事前工作：本项目已经过必要的可行性研究、专家论证、风险评估、绩效评估、集体决策。</w:t>
      </w:r>
    </w:p>
    <w:p>
      <w:pPr>
        <w:spacing w:line="360" w:lineRule="auto"/>
        <w:ind w:firstLine="600" w:firstLineChars="200"/>
        <w:rPr>
          <w:rFonts w:ascii="仿宋_GB2312" w:hAnsi="黑体"/>
        </w:rPr>
      </w:pPr>
      <w:r>
        <w:rPr>
          <w:rFonts w:hint="eastAsia" w:ascii="仿宋_GB2312" w:hAnsi="黑体"/>
        </w:rPr>
        <w:t>3.绩效目标合理性</w:t>
      </w:r>
    </w:p>
    <w:p>
      <w:pPr>
        <w:spacing w:line="360" w:lineRule="auto"/>
        <w:ind w:firstLine="600" w:firstLineChars="200"/>
        <w:rPr>
          <w:rFonts w:ascii="仿宋_GB2312" w:hAnsi="黑体"/>
        </w:rPr>
      </w:pPr>
      <w:r>
        <w:rPr>
          <w:rFonts w:hint="eastAsia" w:ascii="仿宋_GB2312" w:hAnsi="黑体"/>
        </w:rPr>
        <w:t>2023年学生资助补助经费项目设立了项目绩效目标，与</w:t>
      </w:r>
      <w:r>
        <w:rPr>
          <w:rFonts w:hint="eastAsia" w:ascii="仿宋_GB2312" w:hAnsi="黑体"/>
          <w:lang w:val="en-US" w:eastAsia="zh-CN"/>
        </w:rPr>
        <w:t>木垒县中等职业技术学习</w:t>
      </w:r>
      <w:r>
        <w:rPr>
          <w:rFonts w:hint="eastAsia" w:ascii="仿宋_GB2312" w:hAnsi="黑体"/>
        </w:rPr>
        <w:t>具有相关性，项目的预期产出效益和效果也均能符合正常的业绩水平，并且与预算确定的项目投资额或资金量相匹配。</w:t>
      </w:r>
    </w:p>
    <w:p>
      <w:pPr>
        <w:spacing w:line="360" w:lineRule="auto"/>
        <w:ind w:firstLine="600" w:firstLineChars="200"/>
        <w:rPr>
          <w:rFonts w:ascii="仿宋_GB2312" w:hAnsi="黑体"/>
        </w:rPr>
      </w:pPr>
      <w:r>
        <w:rPr>
          <w:rFonts w:hint="eastAsia" w:ascii="仿宋_GB2312" w:hAnsi="黑体"/>
        </w:rPr>
        <w:t>4.绩效指标明确性</w:t>
      </w:r>
    </w:p>
    <w:p>
      <w:pPr>
        <w:spacing w:line="360" w:lineRule="auto"/>
        <w:ind w:firstLine="600" w:firstLineChars="200"/>
        <w:rPr>
          <w:rFonts w:ascii="仿宋_GB2312" w:hAnsi="黑体"/>
        </w:rPr>
      </w:pPr>
      <w:bookmarkStart w:id="1" w:name="_Hlk68699917"/>
      <w:r>
        <w:rPr>
          <w:rFonts w:hint="eastAsia" w:ascii="仿宋_GB2312" w:hAnsi="黑体"/>
        </w:rPr>
        <w:t>2023年学生资助补助经费项目将项目绩效目标细化分解为具体的绩效指标，一级指标共</w:t>
      </w:r>
      <w:r>
        <w:rPr>
          <w:rFonts w:hint="eastAsia" w:ascii="仿宋_GB2312" w:hAnsi="黑体"/>
          <w:lang w:val="en-US" w:eastAsia="zh-CN"/>
        </w:rPr>
        <w:t>4</w:t>
      </w:r>
      <w:r>
        <w:rPr>
          <w:rFonts w:hint="eastAsia" w:ascii="仿宋_GB2312" w:hAnsi="黑体"/>
        </w:rPr>
        <w:t>条，二级指标共</w:t>
      </w:r>
      <w:r>
        <w:rPr>
          <w:rFonts w:hint="eastAsia" w:ascii="仿宋_GB2312" w:hAnsi="黑体"/>
          <w:lang w:val="en-US" w:eastAsia="zh-CN"/>
        </w:rPr>
        <w:t>7</w:t>
      </w:r>
      <w:r>
        <w:rPr>
          <w:rFonts w:hint="eastAsia" w:ascii="仿宋_GB2312" w:hAnsi="黑体"/>
        </w:rPr>
        <w:t>条，三级指标共</w:t>
      </w:r>
      <w:r>
        <w:rPr>
          <w:rFonts w:hint="eastAsia" w:ascii="仿宋_GB2312" w:hAnsi="黑体"/>
          <w:lang w:val="en-US" w:eastAsia="zh-CN"/>
        </w:rPr>
        <w:t>10</w:t>
      </w:r>
      <w:r>
        <w:rPr>
          <w:rFonts w:hint="eastAsia" w:ascii="仿宋_GB2312" w:hAnsi="黑体"/>
        </w:rPr>
        <w:t>条，其中量化指标条数共</w:t>
      </w:r>
      <w:r>
        <w:rPr>
          <w:rFonts w:hint="eastAsia" w:ascii="仿宋_GB2312" w:hAnsi="黑体"/>
          <w:lang w:val="en-US" w:eastAsia="zh-CN"/>
        </w:rPr>
        <w:t>10</w:t>
      </w:r>
      <w:r>
        <w:rPr>
          <w:rFonts w:hint="eastAsia" w:ascii="仿宋_GB2312" w:hAnsi="黑体"/>
        </w:rPr>
        <w:t>条，所有绩效指标均通过清晰、可衡量的指标值予以体现，并且做到了与项目目标任务数或计划数相对应。</w:t>
      </w:r>
      <w:bookmarkEnd w:id="1"/>
    </w:p>
    <w:p>
      <w:pPr>
        <w:spacing w:line="360" w:lineRule="auto"/>
        <w:ind w:firstLine="600" w:firstLineChars="200"/>
        <w:rPr>
          <w:rFonts w:ascii="仿宋_GB2312" w:hAnsi="黑体"/>
        </w:rPr>
      </w:pPr>
      <w:r>
        <w:rPr>
          <w:rFonts w:hint="eastAsia" w:ascii="仿宋_GB2312" w:hAnsi="黑体"/>
        </w:rPr>
        <w:t>5.预算编制科学性</w:t>
      </w:r>
    </w:p>
    <w:p>
      <w:pPr>
        <w:spacing w:line="360" w:lineRule="auto"/>
        <w:ind w:firstLine="600" w:firstLineChars="200"/>
        <w:rPr>
          <w:rFonts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w:t>
      </w:r>
      <w:r>
        <w:rPr>
          <w:rFonts w:hint="eastAsia" w:ascii="仿宋_GB2312" w:hAnsi="黑体"/>
          <w:lang w:val="en-US" w:eastAsia="zh-CN"/>
        </w:rPr>
        <w:t>党组</w:t>
      </w:r>
      <w:r>
        <w:rPr>
          <w:rFonts w:hint="eastAsia" w:ascii="仿宋_GB2312" w:hAnsi="黑体"/>
        </w:rPr>
        <w:t>会议及专家论证确定，预算内容与项目内容无偏差，预算额度测算依据充分，项目投资额与工作任务匹配性100%，不存在偏差性。</w:t>
      </w:r>
    </w:p>
    <w:p>
      <w:pPr>
        <w:spacing w:line="360" w:lineRule="auto"/>
        <w:ind w:firstLine="600" w:firstLineChars="200"/>
        <w:rPr>
          <w:rFonts w:ascii="仿宋_GB2312" w:hAnsi="黑体"/>
        </w:rPr>
      </w:pPr>
      <w:r>
        <w:rPr>
          <w:rFonts w:hint="eastAsia" w:ascii="仿宋_GB2312" w:hAnsi="黑体"/>
        </w:rPr>
        <w:t>6.资金分配合理性</w:t>
      </w:r>
    </w:p>
    <w:p>
      <w:pPr>
        <w:spacing w:line="360" w:lineRule="auto"/>
        <w:ind w:firstLine="600" w:firstLineChars="200"/>
        <w:rPr>
          <w:rFonts w:ascii="仿宋_GB2312" w:hAnsi="黑体"/>
        </w:rPr>
      </w:pPr>
      <w:r>
        <w:rPr>
          <w:rFonts w:hint="eastAsia" w:ascii="仿宋_GB2312" w:hAnsi="黑体"/>
        </w:rPr>
        <w:t xml:space="preserve"> 本项目预算资金分配依据《昌州财教【2022】76号2023年学生资助补助经费批复》，项目资金分配额度无偏低或偏高情况，分配额度合理。项目单位为</w:t>
      </w:r>
      <w:r>
        <w:rPr>
          <w:rFonts w:hint="eastAsia" w:ascii="仿宋_GB2312" w:hAnsi="黑体"/>
          <w:lang w:val="en-US" w:eastAsia="zh-CN"/>
        </w:rPr>
        <w:t>木垒哈萨克自治县中等职业技术学校</w:t>
      </w:r>
      <w:r>
        <w:rPr>
          <w:rFonts w:hint="eastAsia" w:ascii="仿宋_GB2312" w:hAnsi="黑体"/>
        </w:rPr>
        <w:t>位于</w:t>
      </w:r>
      <w:r>
        <w:rPr>
          <w:rFonts w:hint="eastAsia" w:ascii="仿宋_GB2312" w:hAnsi="黑体"/>
          <w:lang w:val="en-US" w:eastAsia="zh-CN"/>
        </w:rPr>
        <w:t>木垒</w:t>
      </w:r>
      <w:r>
        <w:rPr>
          <w:rFonts w:hint="eastAsia" w:ascii="仿宋_GB2312" w:hAnsi="黑体"/>
        </w:rPr>
        <w:t>县，资金分配与单位实际相适应。</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pPr>
        <w:spacing w:line="360" w:lineRule="auto"/>
        <w:rPr>
          <w:rFonts w:ascii="仿宋_GB2312" w:hAnsi="黑体"/>
        </w:rPr>
      </w:pPr>
      <w:r>
        <w:rPr>
          <w:rFonts w:hint="eastAsia" w:ascii="仿宋_GB2312" w:hAnsi="黑体"/>
        </w:rPr>
        <w:t>1.资金到位率：</w:t>
      </w:r>
    </w:p>
    <w:p>
      <w:pPr>
        <w:spacing w:line="360" w:lineRule="auto"/>
        <w:ind w:firstLine="600" w:firstLineChars="200"/>
        <w:rPr>
          <w:rFonts w:ascii="仿宋_GB2312" w:hAnsi="黑体"/>
        </w:rPr>
      </w:pPr>
      <w:r>
        <w:rPr>
          <w:rFonts w:hint="eastAsia" w:ascii="仿宋_GB2312" w:hAnsi="黑体"/>
        </w:rPr>
        <w:t>实际到位资金44.85万元，预算资金44.85万元，资金到位率</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2.预算执行率</w:t>
      </w:r>
    </w:p>
    <w:p>
      <w:pPr>
        <w:spacing w:line="360" w:lineRule="auto"/>
        <w:ind w:firstLine="600" w:firstLineChars="200"/>
        <w:rPr>
          <w:rFonts w:ascii="仿宋_GB2312" w:hAnsi="黑体"/>
        </w:rPr>
      </w:pPr>
      <w:r>
        <w:rPr>
          <w:rFonts w:hint="eastAsia" w:ascii="仿宋_GB2312" w:hAnsi="黑体"/>
        </w:rPr>
        <w:t>年初预算数</w:t>
      </w:r>
      <w:r>
        <w:rPr>
          <w:rFonts w:hint="eastAsia" w:ascii="仿宋_GB2312" w:hAnsi="黑体"/>
          <w:lang w:val="en-US" w:eastAsia="zh-CN"/>
        </w:rPr>
        <w:t>35.46</w:t>
      </w:r>
      <w:r>
        <w:rPr>
          <w:rFonts w:hint="eastAsia" w:ascii="仿宋_GB2312" w:hAnsi="黑体"/>
        </w:rPr>
        <w:t>万元，全年预算数44.85万元，全年执行数44.85万元，预算执行率为</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3.资金使用合规性</w:t>
      </w:r>
    </w:p>
    <w:p>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pPr>
        <w:spacing w:line="360" w:lineRule="auto"/>
        <w:ind w:firstLine="600" w:firstLineChars="200"/>
        <w:rPr>
          <w:rFonts w:hint="eastAsia" w:ascii="仿宋_GB2312" w:hAnsi="黑体"/>
        </w:rPr>
      </w:pPr>
      <w:r>
        <w:rPr>
          <w:rFonts w:hint="eastAsia" w:ascii="仿宋_GB2312" w:hAnsi="黑体"/>
        </w:rPr>
        <w:t>3.2 资金的拨付严格按照</w:t>
      </w:r>
      <w:r>
        <w:rPr>
          <w:rFonts w:hint="eastAsia" w:ascii="仿宋_GB2312" w:hAnsi="黑体"/>
          <w:lang w:val="en-US" w:eastAsia="zh-CN"/>
        </w:rPr>
        <w:t>木垒县中等职业技术学校</w:t>
      </w:r>
      <w:r>
        <w:rPr>
          <w:rFonts w:hint="eastAsia" w:ascii="仿宋_GB2312" w:hAnsi="黑体"/>
        </w:rPr>
        <w:t>单位资金拨付审批程序进行：由</w:t>
      </w:r>
      <w:r>
        <w:rPr>
          <w:rFonts w:hint="eastAsia" w:ascii="仿宋_GB2312" w:hAnsi="黑体"/>
          <w:lang w:val="en-US" w:eastAsia="zh-CN"/>
        </w:rPr>
        <w:t>后勤</w:t>
      </w:r>
      <w:r>
        <w:rPr>
          <w:rFonts w:hint="eastAsia" w:ascii="仿宋_GB2312" w:hAnsi="黑体"/>
        </w:rPr>
        <w:t>科室提交</w:t>
      </w:r>
      <w:r>
        <w:rPr>
          <w:rFonts w:hint="eastAsia" w:ascii="仿宋_GB2312" w:hAnsi="黑体"/>
          <w:lang w:val="en-US" w:eastAsia="zh-CN"/>
        </w:rPr>
        <w:t>分管领导</w:t>
      </w:r>
      <w:r>
        <w:rPr>
          <w:rFonts w:hint="eastAsia" w:ascii="仿宋_GB2312" w:hAnsi="黑体"/>
        </w:rPr>
        <w:t>申请到</w:t>
      </w:r>
      <w:r>
        <w:rPr>
          <w:rFonts w:hint="eastAsia" w:ascii="仿宋_GB2312" w:hAnsi="黑体"/>
          <w:lang w:val="en-US" w:eastAsia="zh-CN"/>
        </w:rPr>
        <w:t>主管</w:t>
      </w:r>
      <w:r>
        <w:rPr>
          <w:rFonts w:hint="eastAsia" w:ascii="仿宋_GB2312" w:hAnsi="黑体"/>
        </w:rPr>
        <w:t>领导，经审批后提交到</w:t>
      </w:r>
      <w:r>
        <w:rPr>
          <w:rFonts w:hint="eastAsia" w:ascii="仿宋_GB2312" w:hAnsi="黑体"/>
          <w:lang w:val="en-US" w:eastAsia="zh-CN"/>
        </w:rPr>
        <w:t>财务室</w:t>
      </w:r>
      <w:r>
        <w:rPr>
          <w:rFonts w:hint="eastAsia" w:ascii="仿宋_GB2312" w:hAnsi="黑体"/>
        </w:rPr>
        <w:t>。项目资金拨付手续齐全，资金拨付手续有：</w:t>
      </w:r>
      <w:r>
        <w:rPr>
          <w:rFonts w:hint="eastAsia" w:ascii="仿宋_GB2312" w:hAnsi="黑体"/>
          <w:lang w:val="en-US" w:eastAsia="zh-CN"/>
        </w:rPr>
        <w:t>资金支付</w:t>
      </w:r>
      <w:r>
        <w:rPr>
          <w:rFonts w:hint="eastAsia" w:ascii="仿宋_GB2312" w:hAnsi="黑体"/>
        </w:rPr>
        <w:t>申请单、</w:t>
      </w:r>
      <w:r>
        <w:rPr>
          <w:rFonts w:hint="eastAsia" w:ascii="仿宋_GB2312" w:hAnsi="黑体"/>
          <w:lang w:val="en-US" w:eastAsia="zh-CN"/>
        </w:rPr>
        <w:t>发票</w:t>
      </w:r>
      <w:r>
        <w:rPr>
          <w:rFonts w:hint="eastAsia" w:ascii="仿宋_GB2312" w:hAnsi="黑体"/>
        </w:rPr>
        <w:t>、</w:t>
      </w:r>
      <w:r>
        <w:rPr>
          <w:rFonts w:hint="eastAsia" w:ascii="仿宋_GB2312" w:hAnsi="黑体"/>
          <w:lang w:val="en-US" w:eastAsia="zh-CN"/>
        </w:rPr>
        <w:t>合同</w:t>
      </w:r>
      <w:r>
        <w:rPr>
          <w:rFonts w:hint="eastAsia" w:ascii="仿宋_GB2312" w:hAnsi="黑体"/>
        </w:rPr>
        <w:t>。</w:t>
      </w:r>
    </w:p>
    <w:p>
      <w:pPr>
        <w:spacing w:line="360" w:lineRule="auto"/>
        <w:ind w:firstLine="600" w:firstLineChars="200"/>
        <w:rPr>
          <w:rFonts w:ascii="仿宋_GB2312" w:hAnsi="黑体"/>
        </w:rPr>
      </w:pPr>
      <w:r>
        <w:rPr>
          <w:rFonts w:hint="eastAsia" w:ascii="仿宋_GB2312" w:hAnsi="黑体"/>
        </w:rPr>
        <w:t>3.3 本项目资金合同规定的用途符合项目预算批复及合同规定的用途；</w:t>
      </w:r>
    </w:p>
    <w:p>
      <w:pPr>
        <w:spacing w:line="360" w:lineRule="auto"/>
        <w:ind w:firstLine="600" w:firstLineChars="200"/>
        <w:rPr>
          <w:rFonts w:ascii="仿宋_GB2312" w:hAnsi="黑体"/>
        </w:rPr>
      </w:pPr>
      <w:r>
        <w:rPr>
          <w:rFonts w:hint="eastAsia" w:ascii="仿宋_GB2312" w:hAnsi="黑体"/>
        </w:rPr>
        <w:t>3.4 项目资金截至</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日已拨付至</w:t>
      </w:r>
      <w:r>
        <w:rPr>
          <w:rFonts w:hint="eastAsia" w:ascii="仿宋_GB2312" w:hAnsi="黑体"/>
          <w:lang w:val="en-US" w:eastAsia="zh-CN"/>
        </w:rPr>
        <w:t>100</w:t>
      </w:r>
      <w:r>
        <w:rPr>
          <w:rFonts w:hint="eastAsia" w:ascii="仿宋_GB2312" w:hAnsi="黑体"/>
        </w:rPr>
        <w:t>%，过程不存在截留、挤占、挪用、虚列支出等情况。</w:t>
      </w:r>
    </w:p>
    <w:p>
      <w:pPr>
        <w:spacing w:line="360" w:lineRule="auto"/>
        <w:rPr>
          <w:rFonts w:ascii="仿宋_GB2312" w:hAnsi="黑体"/>
        </w:rPr>
      </w:pPr>
      <w:r>
        <w:rPr>
          <w:rFonts w:hint="eastAsia" w:ascii="仿宋_GB2312" w:hAnsi="黑体"/>
        </w:rPr>
        <w:t>4.管理制度健全性</w:t>
      </w:r>
    </w:p>
    <w:p>
      <w:pPr>
        <w:spacing w:line="360" w:lineRule="auto"/>
        <w:ind w:firstLine="600" w:firstLineChars="200"/>
        <w:rPr>
          <w:rFonts w:ascii="仿宋_GB2312" w:hAnsi="黑体"/>
        </w:rPr>
      </w:pPr>
      <w:r>
        <w:rPr>
          <w:rFonts w:hint="eastAsia" w:ascii="仿宋_GB2312" w:hAnsi="黑体"/>
        </w:rPr>
        <w:t>4.1 本项目已制定《木垒哈萨克自治县中等职业技术学校2023年学生资助补助经费项目财务管理制度》、《木垒哈萨克自治县中等职业技术学校2023年学生资助补助经费项目业务管理制度》，管理制度健全；</w:t>
      </w:r>
    </w:p>
    <w:p>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木垒哈萨克自治县中等职业技术学校审批通过，确保了各项制度的合法合规性及完整性。</w:t>
      </w:r>
    </w:p>
    <w:p>
      <w:pPr>
        <w:spacing w:line="360" w:lineRule="auto"/>
        <w:rPr>
          <w:rFonts w:ascii="仿宋_GB2312" w:hAnsi="黑体"/>
        </w:rPr>
      </w:pPr>
      <w:r>
        <w:rPr>
          <w:rFonts w:hint="eastAsia" w:ascii="仿宋_GB2312" w:hAnsi="黑体"/>
        </w:rPr>
        <w:t>5.制度执行有效性</w:t>
      </w:r>
    </w:p>
    <w:p>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pPr>
        <w:spacing w:line="360" w:lineRule="auto"/>
        <w:ind w:firstLine="600" w:firstLineChars="200"/>
        <w:rPr>
          <w:rFonts w:ascii="仿宋_GB2312" w:hAnsi="黑体"/>
        </w:rPr>
      </w:pPr>
      <w:r>
        <w:rPr>
          <w:rFonts w:hint="eastAsia" w:ascii="仿宋_GB2312" w:hAnsi="黑体"/>
        </w:rPr>
        <w:t>5.2 本项目无调整情况；</w:t>
      </w:r>
    </w:p>
    <w:p>
      <w:pPr>
        <w:spacing w:line="360" w:lineRule="auto"/>
        <w:ind w:firstLine="600" w:firstLineChars="200"/>
        <w:rPr>
          <w:rFonts w:ascii="仿宋_GB2312" w:hAnsi="黑体"/>
        </w:rPr>
      </w:pPr>
      <w:r>
        <w:rPr>
          <w:rFonts w:hint="eastAsia" w:ascii="仿宋_GB2312" w:hAnsi="黑体"/>
        </w:rPr>
        <w:t>5.3 项目合同书、验收报告、技术鉴定等资料齐全并已及时归档；</w:t>
      </w:r>
    </w:p>
    <w:p>
      <w:pPr>
        <w:spacing w:line="360" w:lineRule="auto"/>
        <w:ind w:firstLine="600" w:firstLineChars="200"/>
        <w:rPr>
          <w:rFonts w:ascii="仿宋_GB2312" w:hAnsi="黑体"/>
        </w:rPr>
      </w:pPr>
      <w:r>
        <w:rPr>
          <w:rFonts w:hint="eastAsia" w:ascii="仿宋_GB2312" w:hAnsi="黑体"/>
        </w:rPr>
        <w:t>5.4 项目实施的人员条件、场地设备、信息支撑等均已落实到位。</w:t>
      </w:r>
    </w:p>
    <w:p/>
    <w:p>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pPr>
        <w:spacing w:line="360" w:lineRule="auto"/>
        <w:ind w:firstLine="600" w:firstLineChars="200"/>
        <w:rPr>
          <w:rFonts w:hint="eastAsia" w:ascii="仿宋_GB2312" w:hAnsi="黑体"/>
        </w:rPr>
      </w:pPr>
      <w:r>
        <w:rPr>
          <w:rFonts w:hint="eastAsia" w:ascii="仿宋_GB2312" w:hAnsi="黑体"/>
        </w:rPr>
        <w:t>我单位2023年学生资助补助经费项目截止到2023年12月31日，已完成对中等职业学校57名学生发放7.34万元助学金；给各学生学习在学校、生活在学校、成长在学校的良好条件。其中：</w:t>
      </w:r>
    </w:p>
    <w:p/>
    <w:p>
      <w:pPr>
        <w:spacing w:line="360" w:lineRule="auto"/>
        <w:ind w:firstLine="564" w:firstLineChars="188"/>
        <w:rPr>
          <w:rFonts w:ascii="仿宋_GB2312" w:hAnsi="黑体"/>
          <w:color w:val="auto"/>
          <w:highlight w:val="none"/>
        </w:rPr>
      </w:pPr>
      <w:r>
        <w:rPr>
          <w:rFonts w:hint="eastAsia" w:ascii="仿宋_GB2312" w:hAnsi="黑体"/>
          <w:color w:val="auto"/>
          <w:highlight w:val="none"/>
        </w:rPr>
        <w:t>1</w:t>
      </w:r>
      <w:r>
        <w:rPr>
          <w:rFonts w:ascii="仿宋_GB2312" w:hAnsi="黑体"/>
          <w:color w:val="auto"/>
          <w:highlight w:val="none"/>
        </w:rPr>
        <w:t>.</w:t>
      </w:r>
      <w:r>
        <w:rPr>
          <w:rFonts w:hint="eastAsia" w:ascii="仿宋_GB2312" w:hAnsi="黑体"/>
          <w:color w:val="auto"/>
          <w:highlight w:val="none"/>
        </w:rPr>
        <w:t>项目完成数量</w:t>
      </w:r>
    </w:p>
    <w:p>
      <w:pPr>
        <w:spacing w:line="360" w:lineRule="auto"/>
        <w:ind w:firstLine="600" w:firstLineChars="200"/>
        <w:rPr>
          <w:rFonts w:hint="eastAsia" w:ascii="仿宋_GB2312" w:hAnsi="黑体"/>
        </w:rPr>
      </w:pPr>
      <w:r>
        <w:rPr>
          <w:rFonts w:hint="eastAsia" w:ascii="仿宋_GB2312" w:hAnsi="黑体"/>
        </w:rPr>
        <w:t>指标1：免学费应受助学生人数，指标值：</w:t>
      </w:r>
      <w:r>
        <w:rPr>
          <w:rFonts w:hint="default" w:ascii="仿宋_GB2312" w:hAnsi="黑体"/>
        </w:rPr>
        <w:t>≥</w:t>
      </w:r>
      <w:r>
        <w:rPr>
          <w:rFonts w:hint="eastAsia" w:ascii="仿宋_GB2312" w:hAnsi="黑体"/>
        </w:rPr>
        <w:t>205人，实际完成值205人，指标完成率</w:t>
      </w:r>
      <w:r>
        <w:rPr>
          <w:rFonts w:hint="eastAsia" w:ascii="仿宋_GB2312" w:hAnsi="黑体"/>
          <w:lang w:val="en-US" w:eastAsia="zh-CN"/>
        </w:rPr>
        <w:t>100</w:t>
      </w:r>
      <w:r>
        <w:rPr>
          <w:rFonts w:hint="eastAsia" w:ascii="仿宋_GB2312" w:hAnsi="黑体"/>
        </w:rPr>
        <w:t xml:space="preserve"> %；</w:t>
      </w:r>
    </w:p>
    <w:p>
      <w:pPr>
        <w:spacing w:line="360" w:lineRule="auto"/>
        <w:ind w:firstLine="600" w:firstLineChars="200"/>
        <w:rPr>
          <w:rFonts w:hint="eastAsia" w:ascii="仿宋_GB2312" w:hAnsi="黑体"/>
        </w:rPr>
      </w:pPr>
      <w:r>
        <w:rPr>
          <w:rFonts w:hint="eastAsia" w:ascii="仿宋_GB2312" w:hAnsi="黑体"/>
        </w:rPr>
        <w:t>指标2：发放助学金人数，指标值：</w:t>
      </w:r>
      <w:r>
        <w:rPr>
          <w:rFonts w:hint="default" w:ascii="仿宋_GB2312" w:hAnsi="黑体"/>
        </w:rPr>
        <w:t>≥</w:t>
      </w:r>
      <w:r>
        <w:rPr>
          <w:rFonts w:hint="eastAsia" w:ascii="仿宋_GB2312" w:hAnsi="黑体"/>
          <w:lang w:val="en-US" w:eastAsia="zh-CN"/>
        </w:rPr>
        <w:t>57</w:t>
      </w:r>
      <w:r>
        <w:rPr>
          <w:rFonts w:hint="eastAsia" w:ascii="仿宋_GB2312" w:hAnsi="黑体"/>
        </w:rPr>
        <w:t>人，实际完成值</w:t>
      </w:r>
      <w:r>
        <w:rPr>
          <w:rFonts w:hint="eastAsia" w:ascii="仿宋_GB2312" w:hAnsi="黑体"/>
          <w:lang w:val="en-US" w:eastAsia="zh-CN"/>
        </w:rPr>
        <w:t>57人</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pPr>
        <w:spacing w:line="360" w:lineRule="auto"/>
        <w:ind w:firstLine="600" w:firstLineChars="200"/>
        <w:rPr>
          <w:rFonts w:ascii="仿宋_GB2312" w:hAnsi="黑体" w:cs="仿宋"/>
          <w:color w:val="auto"/>
          <w:szCs w:val="30"/>
          <w:highlight w:val="none"/>
        </w:rPr>
      </w:pPr>
      <w:r>
        <w:rPr>
          <w:rFonts w:hint="eastAsia" w:ascii="仿宋_GB2312" w:hAnsi="黑体" w:cs="仿宋"/>
          <w:color w:val="auto"/>
          <w:szCs w:val="30"/>
          <w:highlight w:val="none"/>
        </w:rPr>
        <w:t>2.项目完成质量：</w:t>
      </w:r>
    </w:p>
    <w:p>
      <w:pPr>
        <w:spacing w:line="360" w:lineRule="auto"/>
        <w:ind w:firstLine="600" w:firstLineChars="200"/>
        <w:rPr>
          <w:rFonts w:hint="eastAsia" w:ascii="仿宋_GB2312" w:hAnsi="黑体"/>
        </w:rPr>
      </w:pPr>
      <w:r>
        <w:rPr>
          <w:rFonts w:hint="eastAsia" w:ascii="仿宋_GB2312" w:hAnsi="黑体"/>
        </w:rPr>
        <w:t>指标1：中等职业学校免费教育资金覆盖率，指标值：=100%，实际完成值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pPr>
        <w:spacing w:line="360" w:lineRule="auto"/>
        <w:ind w:firstLine="600" w:firstLineChars="200"/>
        <w:rPr>
          <w:rFonts w:ascii="仿宋_GB2312" w:hAnsi="黑体" w:cs="仿宋"/>
          <w:szCs w:val="30"/>
        </w:rPr>
      </w:pPr>
      <w:r>
        <w:rPr>
          <w:rFonts w:hint="eastAsia" w:ascii="仿宋_GB2312" w:hAnsi="黑体" w:cs="仿宋"/>
          <w:szCs w:val="30"/>
        </w:rPr>
        <w:t>指标2：助资金发放准确率，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3.项目完成时效</w:t>
      </w:r>
    </w:p>
    <w:p>
      <w:pPr>
        <w:spacing w:line="360" w:lineRule="auto"/>
        <w:ind w:firstLine="600" w:firstLineChars="200"/>
        <w:rPr>
          <w:rFonts w:ascii="仿宋_GB2312" w:hAnsi="黑体" w:cs="仿宋"/>
          <w:szCs w:val="30"/>
        </w:rPr>
      </w:pPr>
      <w:r>
        <w:rPr>
          <w:rFonts w:hint="eastAsia" w:ascii="仿宋_GB2312" w:hAnsi="黑体" w:cs="仿宋"/>
          <w:szCs w:val="30"/>
        </w:rPr>
        <w:t>指标1：补助资金发放及时率，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4.项目完成成本</w:t>
      </w:r>
    </w:p>
    <w:p>
      <w:pPr>
        <w:spacing w:line="360" w:lineRule="auto"/>
        <w:ind w:firstLine="600" w:firstLineChars="200"/>
        <w:rPr>
          <w:rFonts w:ascii="仿宋_GB2312" w:hAnsi="黑体" w:cs="仿宋"/>
          <w:szCs w:val="30"/>
        </w:rPr>
      </w:pPr>
      <w:r>
        <w:rPr>
          <w:rFonts w:hint="eastAsia" w:ascii="仿宋_GB2312" w:hAnsi="黑体" w:cs="仿宋"/>
          <w:szCs w:val="30"/>
          <w:highlight w:val="none"/>
        </w:rPr>
        <w:t>指标1：发放助学金</w:t>
      </w:r>
      <w:r>
        <w:rPr>
          <w:rFonts w:hint="eastAsia" w:ascii="仿宋_GB2312" w:hAnsi="黑体" w:cs="仿宋"/>
          <w:szCs w:val="30"/>
        </w:rPr>
        <w:t>成本，指标值：</w:t>
      </w:r>
      <w:r>
        <w:rPr>
          <w:rFonts w:hint="default" w:ascii="Arial" w:hAnsi="Arial" w:cs="Arial"/>
          <w:szCs w:val="30"/>
        </w:rPr>
        <w:t>≤</w:t>
      </w:r>
      <w:r>
        <w:rPr>
          <w:rFonts w:hint="eastAsia" w:ascii="仿宋_GB2312" w:hAnsi="仿宋_GB2312" w:cs="仿宋_GB2312"/>
          <w:szCs w:val="30"/>
          <w:lang w:val="en-US" w:eastAsia="zh-CN"/>
        </w:rPr>
        <w:t>7.34万元</w:t>
      </w:r>
      <w:r>
        <w:rPr>
          <w:rFonts w:hint="eastAsia" w:ascii="仿宋_GB2312" w:hAnsi="黑体" w:cs="仿宋"/>
          <w:szCs w:val="30"/>
        </w:rPr>
        <w:t>，实际完成值</w:t>
      </w:r>
      <w:r>
        <w:rPr>
          <w:rFonts w:hint="eastAsia" w:ascii="仿宋_GB2312" w:hAnsi="黑体" w:cs="仿宋"/>
          <w:szCs w:val="30"/>
          <w:lang w:val="en-US" w:eastAsia="zh-CN"/>
        </w:rPr>
        <w:t>7.34万元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rPr>
      </w:pPr>
      <w:r>
        <w:rPr>
          <w:rFonts w:hint="eastAsia" w:ascii="仿宋_GB2312" w:hAnsi="黑体" w:cs="仿宋"/>
          <w:szCs w:val="30"/>
        </w:rPr>
        <w:t>指标2：免学费成本，指标值：</w:t>
      </w:r>
      <w:r>
        <w:rPr>
          <w:rFonts w:hint="default" w:ascii="Arial" w:hAnsi="Arial" w:cs="Arial"/>
          <w:szCs w:val="30"/>
        </w:rPr>
        <w:t>≤</w:t>
      </w:r>
      <w:r>
        <w:rPr>
          <w:rFonts w:hint="eastAsia" w:ascii="仿宋_GB2312" w:hAnsi="仿宋_GB2312" w:cs="仿宋_GB2312"/>
          <w:szCs w:val="30"/>
          <w:lang w:val="en-US" w:eastAsia="zh-CN"/>
        </w:rPr>
        <w:t>28.12万元</w:t>
      </w:r>
      <w:r>
        <w:rPr>
          <w:rFonts w:hint="eastAsia" w:ascii="仿宋_GB2312" w:hAnsi="黑体" w:cs="仿宋"/>
          <w:szCs w:val="30"/>
        </w:rPr>
        <w:t>，实际完成值</w:t>
      </w:r>
      <w:r>
        <w:rPr>
          <w:rFonts w:hint="eastAsia" w:ascii="仿宋_GB2312" w:hAnsi="黑体" w:cs="仿宋"/>
          <w:szCs w:val="30"/>
          <w:lang w:val="en-US" w:eastAsia="zh-CN"/>
        </w:rPr>
        <w:t>28.12万元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rPr>
      </w:pPr>
      <w:r>
        <w:rPr>
          <w:rFonts w:hint="eastAsia" w:ascii="仿宋_GB2312" w:hAnsi="黑体" w:cs="仿宋"/>
          <w:szCs w:val="30"/>
        </w:rPr>
        <w:t>指标</w:t>
      </w:r>
      <w:r>
        <w:rPr>
          <w:rFonts w:hint="eastAsia" w:ascii="仿宋_GB2312" w:hAnsi="黑体" w:cs="仿宋"/>
          <w:szCs w:val="30"/>
          <w:lang w:val="en-US" w:eastAsia="zh-CN"/>
        </w:rPr>
        <w:t>3</w:t>
      </w:r>
      <w:r>
        <w:rPr>
          <w:rFonts w:hint="eastAsia" w:ascii="仿宋_GB2312" w:hAnsi="黑体" w:cs="仿宋"/>
          <w:szCs w:val="30"/>
        </w:rPr>
        <w:t>：学生家长投诉率，指标值：=0%，实际完成值0%，指标完成率</w:t>
      </w:r>
      <w:r>
        <w:rPr>
          <w:rFonts w:hint="eastAsia" w:ascii="仿宋_GB2312" w:hAnsi="黑体" w:cs="仿宋"/>
          <w:szCs w:val="30"/>
          <w:lang w:val="en-US" w:eastAsia="zh-CN"/>
        </w:rPr>
        <w:t>100</w:t>
      </w:r>
      <w:r>
        <w:rPr>
          <w:rFonts w:hint="eastAsia" w:ascii="仿宋_GB2312" w:hAnsi="黑体" w:cs="仿宋"/>
          <w:szCs w:val="30"/>
        </w:rPr>
        <w:t>%。</w:t>
      </w:r>
    </w:p>
    <w:p>
      <w:pPr>
        <w:pStyle w:val="3"/>
        <w:spacing w:line="360" w:lineRule="auto"/>
        <w:rPr>
          <w:rFonts w:ascii="仿宋_GB2312" w:hAnsi="黑体" w:eastAsia="仿宋_GB2312"/>
          <w:b w:val="0"/>
          <w:bCs w:val="0"/>
        </w:rPr>
      </w:pPr>
      <w:r>
        <w:rPr>
          <w:rFonts w:hint="eastAsia" w:ascii="仿宋_GB2312" w:hAnsi="黑体" w:eastAsia="仿宋_GB2312"/>
          <w:b w:val="0"/>
          <w:bCs w:val="0"/>
        </w:rPr>
        <w:t>（四）项目效益情况。</w:t>
      </w:r>
    </w:p>
    <w:p>
      <w:pPr>
        <w:ind w:firstLine="300" w:firstLineChars="100"/>
      </w:pPr>
      <w:r>
        <w:rPr>
          <w:rFonts w:hint="eastAsia"/>
        </w:rPr>
        <w:t>我单位2023年学生资助补助经费项目截止到2023年12月31日，已完成</w:t>
      </w:r>
      <w:r>
        <w:rPr>
          <w:rFonts w:hint="eastAsia"/>
          <w:lang w:val="en-US" w:eastAsia="zh-CN"/>
        </w:rPr>
        <w:t>相关社会效益指标和满意度指标</w:t>
      </w:r>
      <w:r>
        <w:rPr>
          <w:rFonts w:hint="eastAsia"/>
        </w:rPr>
        <w:t>；其中：</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lang w:val="en-US" w:eastAsia="zh-CN"/>
        </w:rPr>
        <w:t>1</w:t>
      </w:r>
      <w:r>
        <w:rPr>
          <w:rFonts w:ascii="仿宋_GB2312" w:hAnsi="黑体" w:cs="仿宋"/>
          <w:szCs w:val="30"/>
          <w:highlight w:val="none"/>
        </w:rPr>
        <w:t>.</w:t>
      </w:r>
      <w:r>
        <w:rPr>
          <w:rFonts w:hint="eastAsia" w:ascii="仿宋_GB2312" w:hAnsi="黑体" w:cs="仿宋"/>
          <w:szCs w:val="30"/>
          <w:highlight w:val="none"/>
        </w:rPr>
        <w:t>项目实施的社会效益分析</w:t>
      </w:r>
    </w:p>
    <w:p>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指标1：学校正常运转率，指标值：</w:t>
      </w:r>
      <w:r>
        <w:rPr>
          <w:rFonts w:hint="eastAsia" w:ascii="仿宋_GB2312" w:hAnsi="黑体"/>
        </w:rPr>
        <w:t>=100%，实际完成值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bookmarkEnd w:id="2"/>
    <w:p>
      <w:pPr>
        <w:pStyle w:val="14"/>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pPr>
        <w:pStyle w:val="14"/>
        <w:spacing w:line="360" w:lineRule="auto"/>
        <w:ind w:left="420" w:firstLine="0" w:firstLineChars="0"/>
        <w:rPr>
          <w:rFonts w:ascii="仿宋_GB2312" w:hAnsi="黑体" w:cs="仿宋"/>
          <w:szCs w:val="30"/>
        </w:rPr>
      </w:pPr>
      <w:r>
        <w:rPr>
          <w:rFonts w:hint="eastAsia" w:ascii="仿宋_GB2312" w:hAnsi="黑体" w:cs="仿宋"/>
          <w:szCs w:val="30"/>
        </w:rPr>
        <w:t>指标1：师生满意度，指标值：</w:t>
      </w:r>
      <w:r>
        <w:rPr>
          <w:rFonts w:hint="default" w:ascii="仿宋_GB2312" w:hAnsi="黑体"/>
        </w:rPr>
        <w:t>≥</w:t>
      </w:r>
      <w:r>
        <w:rPr>
          <w:rFonts w:hint="eastAsia" w:ascii="仿宋_GB2312" w:hAnsi="黑体"/>
          <w:lang w:val="en-US" w:eastAsia="zh-CN"/>
        </w:rPr>
        <w:t>95%</w:t>
      </w:r>
      <w:r>
        <w:rPr>
          <w:rFonts w:hint="eastAsia" w:ascii="仿宋_GB2312" w:hAnsi="黑体" w:cs="仿宋"/>
          <w:szCs w:val="30"/>
        </w:rPr>
        <w:t xml:space="preserve"> ，实际完成值</w:t>
      </w:r>
      <w:r>
        <w:rPr>
          <w:rFonts w:hint="eastAsia" w:ascii="仿宋_GB2312" w:hAnsi="黑体" w:cs="仿宋"/>
          <w:szCs w:val="30"/>
          <w:lang w:val="en-US" w:eastAsia="zh-CN"/>
        </w:rPr>
        <w:t>95%</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rPr>
          <w:rFonts w:ascii="仿宋_GB2312" w:hAnsi="黑体" w:cs="仿宋"/>
          <w:b/>
          <w:bCs/>
          <w:szCs w:val="30"/>
        </w:rPr>
      </w:pPr>
      <w:bookmarkStart w:id="3" w:name="_Toc28962"/>
      <w:bookmarkStart w:id="4" w:name="_Toc6825"/>
      <w:r>
        <w:rPr>
          <w:rFonts w:hint="eastAsia" w:ascii="仿宋_GB2312" w:hAnsi="黑体" w:cs="仿宋"/>
          <w:b/>
          <w:bCs/>
          <w:szCs w:val="30"/>
        </w:rPr>
        <w:t>五、预算执行进度与绩效指标偏差</w:t>
      </w:r>
      <w:bookmarkEnd w:id="3"/>
      <w:bookmarkEnd w:id="4"/>
    </w:p>
    <w:p>
      <w:pPr>
        <w:spacing w:line="360" w:lineRule="auto"/>
        <w:rPr>
          <w:rFonts w:ascii="仿宋_GB2312" w:hAnsi="黑体" w:cs="仿宋"/>
          <w:szCs w:val="30"/>
        </w:rPr>
      </w:pPr>
      <w:bookmarkStart w:id="5" w:name="_Toc15026"/>
      <w:bookmarkStart w:id="6" w:name="_Toc10832"/>
      <w:r>
        <w:rPr>
          <w:rFonts w:hint="eastAsia" w:ascii="仿宋_GB2312" w:hAnsi="黑体" w:cs="仿宋"/>
          <w:szCs w:val="30"/>
        </w:rPr>
        <w:t>（一）预算执行进度</w:t>
      </w:r>
      <w:bookmarkEnd w:id="5"/>
      <w:bookmarkEnd w:id="6"/>
    </w:p>
    <w:p>
      <w:pPr>
        <w:spacing w:line="360" w:lineRule="auto"/>
        <w:rPr>
          <w:rFonts w:ascii="仿宋_GB2312" w:hAnsi="黑体" w:cs="仿宋"/>
          <w:szCs w:val="30"/>
        </w:rPr>
      </w:pPr>
      <w:r>
        <w:rPr>
          <w:rFonts w:hint="eastAsia" w:ascii="仿宋_GB2312" w:hAnsi="黑体" w:cs="仿宋"/>
          <w:szCs w:val="30"/>
        </w:rPr>
        <w:t xml:space="preserve">    根据合同内容，</w:t>
      </w:r>
      <w:r>
        <w:rPr>
          <w:rFonts w:hint="eastAsia" w:ascii="仿宋_GB2312" w:hAnsi="黑体" w:cs="仿宋"/>
          <w:szCs w:val="30"/>
          <w:lang w:val="en-US" w:eastAsia="zh-CN"/>
        </w:rPr>
        <w:t>木垒县中等职业技术学校</w:t>
      </w:r>
      <w:r>
        <w:rPr>
          <w:rFonts w:hint="eastAsia" w:ascii="仿宋_GB2312" w:hAnsi="黑体" w:cs="仿宋"/>
          <w:szCs w:val="30"/>
        </w:rPr>
        <w:t>于2023年</w:t>
      </w:r>
      <w:r>
        <w:rPr>
          <w:rFonts w:hint="eastAsia" w:ascii="仿宋_GB2312" w:hAnsi="黑体" w:cs="仿宋"/>
          <w:szCs w:val="30"/>
          <w:lang w:val="en-US" w:eastAsia="zh-CN"/>
        </w:rPr>
        <w:t>6</w:t>
      </w:r>
      <w:r>
        <w:rPr>
          <w:rFonts w:hint="eastAsia" w:ascii="仿宋_GB2312" w:hAnsi="黑体" w:cs="仿宋"/>
          <w:szCs w:val="30"/>
        </w:rPr>
        <w:t>月</w:t>
      </w:r>
      <w:r>
        <w:rPr>
          <w:rFonts w:hint="eastAsia" w:ascii="仿宋_GB2312" w:hAnsi="黑体" w:cs="仿宋"/>
          <w:szCs w:val="30"/>
          <w:lang w:val="en-US" w:eastAsia="zh-CN"/>
        </w:rPr>
        <w:t>8</w:t>
      </w:r>
      <w:r>
        <w:rPr>
          <w:rFonts w:hint="eastAsia" w:ascii="仿宋_GB2312" w:hAnsi="黑体" w:cs="仿宋"/>
          <w:szCs w:val="30"/>
        </w:rPr>
        <w:t>日</w:t>
      </w:r>
      <w:r>
        <w:rPr>
          <w:rFonts w:hint="eastAsia" w:ascii="仿宋_GB2312" w:hAnsi="黑体" w:cs="仿宋"/>
          <w:szCs w:val="30"/>
          <w:lang w:val="en-US" w:eastAsia="zh-CN"/>
        </w:rPr>
        <w:t>支付助学金3.72万元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13</w:t>
      </w:r>
      <w:r>
        <w:rPr>
          <w:rFonts w:hint="eastAsia" w:ascii="仿宋_GB2312" w:hAnsi="黑体" w:cs="仿宋"/>
          <w:szCs w:val="30"/>
        </w:rPr>
        <w:t>日</w:t>
      </w:r>
      <w:r>
        <w:rPr>
          <w:rFonts w:hint="eastAsia" w:ascii="仿宋_GB2312" w:hAnsi="黑体" w:cs="仿宋"/>
          <w:szCs w:val="30"/>
          <w:lang w:val="en-US" w:eastAsia="zh-CN"/>
        </w:rPr>
        <w:t>支付奖学金0.6万元，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-27日支付助学金4.15万元，</w:t>
      </w:r>
      <w:r>
        <w:rPr>
          <w:rFonts w:hint="eastAsia" w:ascii="仿宋_GB2312" w:hAnsi="黑体" w:cs="仿宋"/>
          <w:szCs w:val="30"/>
        </w:rPr>
        <w:t>、2023年</w:t>
      </w:r>
      <w:r>
        <w:rPr>
          <w:rFonts w:hint="eastAsia" w:ascii="仿宋_GB2312" w:hAnsi="黑体" w:cs="仿宋"/>
          <w:szCs w:val="30"/>
          <w:lang w:val="en-US" w:eastAsia="zh-CN"/>
        </w:rPr>
        <w:t>12</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免学费资金已支付完毕</w:t>
      </w:r>
      <w:r>
        <w:rPr>
          <w:rFonts w:hint="eastAsia" w:ascii="仿宋_GB2312" w:hAnsi="黑体" w:cs="仿宋"/>
          <w:szCs w:val="30"/>
        </w:rPr>
        <w:t>。截至2023年12月31日已执行</w:t>
      </w:r>
      <w:r>
        <w:rPr>
          <w:rFonts w:hint="eastAsia" w:ascii="仿宋_GB2312" w:hAnsi="黑体" w:cs="仿宋"/>
          <w:szCs w:val="30"/>
          <w:lang w:val="en-US" w:eastAsia="zh-CN"/>
        </w:rPr>
        <w:t>44.85</w:t>
      </w:r>
      <w:r>
        <w:rPr>
          <w:rFonts w:hint="eastAsia" w:ascii="仿宋_GB2312" w:hAnsi="黑体" w:cs="仿宋"/>
          <w:szCs w:val="30"/>
        </w:rPr>
        <w:t>万元，预算执行率</w:t>
      </w:r>
      <w:r>
        <w:rPr>
          <w:rFonts w:hint="eastAsia" w:ascii="仿宋_GB2312" w:hAnsi="黑体" w:cs="仿宋"/>
          <w:szCs w:val="30"/>
          <w:lang w:val="en-US" w:eastAsia="zh-CN"/>
        </w:rPr>
        <w:t>100</w:t>
      </w:r>
      <w:r>
        <w:rPr>
          <w:rFonts w:hint="eastAsia" w:ascii="仿宋_GB2312" w:hAnsi="黑体" w:cs="仿宋"/>
          <w:szCs w:val="30"/>
        </w:rPr>
        <w:t>%。</w:t>
      </w:r>
    </w:p>
    <w:p>
      <w:pPr>
        <w:numPr>
          <w:ilvl w:val="0"/>
          <w:numId w:val="2"/>
        </w:numPr>
        <w:spacing w:line="360" w:lineRule="auto"/>
        <w:rPr>
          <w:rFonts w:ascii="仿宋_GB2312" w:hAnsi="黑体" w:cs="仿宋"/>
          <w:szCs w:val="30"/>
        </w:rPr>
      </w:pPr>
      <w:bookmarkStart w:id="7" w:name="_Toc28090"/>
      <w:r>
        <w:rPr>
          <w:rFonts w:hint="eastAsia" w:ascii="仿宋_GB2312" w:hAnsi="黑体" w:cs="仿宋"/>
          <w:szCs w:val="30"/>
        </w:rPr>
        <w:t>绩效指标偏差</w:t>
      </w:r>
      <w:bookmarkEnd w:id="7"/>
    </w:p>
    <w:p>
      <w:pPr>
        <w:spacing w:line="360" w:lineRule="auto"/>
        <w:rPr>
          <w:rFonts w:ascii="仿宋_GB2312" w:hAnsi="黑体" w:cs="仿宋"/>
          <w:szCs w:val="30"/>
        </w:rPr>
      </w:pPr>
      <w:r>
        <w:rPr>
          <w:rFonts w:hint="eastAsia" w:ascii="仿宋_GB2312" w:hAnsi="黑体" w:cs="仿宋"/>
          <w:szCs w:val="30"/>
        </w:rPr>
        <w:t xml:space="preserve">      本项目绩效指标无偏差情况。</w:t>
      </w:r>
    </w:p>
    <w:p>
      <w:pPr>
        <w:spacing w:line="360" w:lineRule="auto"/>
        <w:rPr>
          <w:rFonts w:ascii="仿宋_GB2312" w:hAnsi="黑体" w:cs="仿宋"/>
          <w:szCs w:val="30"/>
        </w:rPr>
      </w:pPr>
    </w:p>
    <w:p>
      <w:pPr>
        <w:keepNext/>
        <w:keepLines/>
        <w:spacing w:before="340" w:after="330" w:line="360" w:lineRule="auto"/>
        <w:outlineLvl w:val="0"/>
        <w:rPr>
          <w:rFonts w:ascii="仿宋_GB2312" w:hAnsi="黑体" w:cs="仿宋"/>
          <w:b/>
          <w:bCs/>
          <w:szCs w:val="30"/>
        </w:rPr>
      </w:pPr>
      <w:bookmarkStart w:id="8" w:name="_Toc30012"/>
      <w:bookmarkStart w:id="9" w:name="_Toc17549"/>
      <w:r>
        <w:rPr>
          <w:rFonts w:hint="eastAsia" w:ascii="仿宋_GB2312" w:hAnsi="黑体" w:cs="仿宋"/>
          <w:b/>
          <w:bCs/>
          <w:szCs w:val="30"/>
        </w:rPr>
        <w:t>六、主要经验及做法、存在的问题及原因分析</w:t>
      </w:r>
      <w:bookmarkEnd w:id="8"/>
      <w:bookmarkEnd w:id="9"/>
    </w:p>
    <w:p>
      <w:pPr>
        <w:keepNext/>
        <w:keepLines/>
        <w:spacing w:before="260" w:after="260" w:line="360" w:lineRule="auto"/>
        <w:outlineLvl w:val="1"/>
        <w:rPr>
          <w:rFonts w:ascii="仿宋_GB2312" w:hAnsi="黑体" w:cs="仿宋"/>
          <w:szCs w:val="30"/>
        </w:rPr>
      </w:pPr>
      <w:bookmarkStart w:id="10" w:name="_Toc13398"/>
      <w:bookmarkStart w:id="11" w:name="_Toc68703843"/>
      <w:r>
        <w:rPr>
          <w:rFonts w:hint="eastAsia" w:ascii="仿宋_GB2312" w:hAnsi="黑体" w:cs="仿宋"/>
          <w:szCs w:val="30"/>
        </w:rPr>
        <w:t>（一）主要经验及做法</w:t>
      </w:r>
      <w:bookmarkEnd w:id="10"/>
      <w:bookmarkEnd w:id="11"/>
    </w:p>
    <w:p>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pPr>
        <w:spacing w:line="360" w:lineRule="auto"/>
        <w:ind w:firstLine="600" w:firstLineChars="200"/>
        <w:rPr>
          <w:rFonts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pPr>
        <w:spacing w:line="360" w:lineRule="auto"/>
        <w:ind w:firstLine="600" w:firstLineChars="200"/>
        <w:rPr>
          <w:rFonts w:ascii="仿宋_GB2312" w:hAnsi="黑体" w:cs="仿宋"/>
          <w:szCs w:val="30"/>
        </w:rPr>
      </w:pPr>
      <w:r>
        <w:rPr>
          <w:rFonts w:hint="eastAsia" w:ascii="仿宋_GB2312" w:hAnsi="黑体" w:cs="仿宋"/>
          <w:szCs w:val="30"/>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pPr>
        <w:spacing w:line="360" w:lineRule="auto"/>
        <w:ind w:firstLine="600" w:firstLineChars="200"/>
        <w:rPr>
          <w:rFonts w:ascii="仿宋_GB2312" w:hAnsi="黑体" w:cs="仿宋"/>
          <w:szCs w:val="30"/>
        </w:rPr>
      </w:pPr>
      <w:r>
        <w:rPr>
          <w:rFonts w:hint="eastAsia" w:ascii="仿宋_GB2312" w:hAnsi="黑体" w:cs="仿宋"/>
          <w:szCs w:val="30"/>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pPr>
        <w:spacing w:after="120" w:line="360" w:lineRule="auto"/>
        <w:ind w:left="600" w:leftChars="200" w:firstLine="600" w:firstLineChars="200"/>
        <w:rPr>
          <w:rFonts w:ascii="仿宋_GB2312" w:hAnsi="黑体" w:cs="仿宋"/>
          <w:szCs w:val="30"/>
        </w:rPr>
      </w:pPr>
    </w:p>
    <w:p>
      <w:pPr>
        <w:keepNext/>
        <w:keepLines/>
        <w:spacing w:before="260" w:after="260" w:line="360" w:lineRule="auto"/>
        <w:outlineLvl w:val="1"/>
        <w:rPr>
          <w:rFonts w:ascii="仿宋_GB2312" w:hAnsi="黑体" w:cs="仿宋"/>
          <w:szCs w:val="30"/>
        </w:rPr>
      </w:pPr>
      <w:bookmarkStart w:id="12" w:name="_Toc68703844"/>
      <w:bookmarkStart w:id="13" w:name="_Toc16865"/>
      <w:r>
        <w:rPr>
          <w:rFonts w:hint="eastAsia" w:ascii="仿宋_GB2312" w:hAnsi="黑体" w:cs="仿宋"/>
          <w:szCs w:val="30"/>
        </w:rPr>
        <w:t>（三）存在的问题及原因分析</w:t>
      </w:r>
      <w:bookmarkEnd w:id="12"/>
      <w:bookmarkEnd w:id="13"/>
    </w:p>
    <w:p>
      <w:pPr>
        <w:spacing w:line="360" w:lineRule="auto"/>
        <w:ind w:firstLine="600" w:firstLineChars="200"/>
        <w:rPr>
          <w:rFonts w:ascii="仿宋_GB2312" w:hAnsi="黑体" w:cs="仿宋"/>
          <w:szCs w:val="30"/>
        </w:rPr>
      </w:pPr>
      <w:r>
        <w:rPr>
          <w:rFonts w:hint="eastAsia" w:ascii="仿宋_GB2312" w:hAnsi="黑体" w:cs="仿宋"/>
          <w:szCs w:val="30"/>
        </w:rPr>
        <w:t>1.存在的问题：</w:t>
      </w:r>
    </w:p>
    <w:p>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600" w:firstLineChars="200"/>
        <w:rPr>
          <w:rFonts w:ascii="仿宋_GB2312" w:hAnsi="黑体" w:cs="仿宋"/>
          <w:szCs w:val="30"/>
        </w:rPr>
      </w:pPr>
      <w:r>
        <w:rPr>
          <w:rFonts w:hint="eastAsia" w:ascii="仿宋_GB2312" w:hAnsi="黑体" w:cs="仿宋"/>
          <w:szCs w:val="30"/>
        </w:rPr>
        <w:t>2.改进措施：</w:t>
      </w:r>
    </w:p>
    <w:p>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pPr>
        <w:keepNext/>
        <w:keepLines/>
        <w:spacing w:before="340" w:after="330" w:line="360" w:lineRule="auto"/>
        <w:outlineLvl w:val="0"/>
        <w:rPr>
          <w:rFonts w:ascii="仿宋_GB2312" w:hAnsi="黑体" w:cs="仿宋"/>
          <w:b/>
          <w:bCs/>
          <w:szCs w:val="30"/>
        </w:rPr>
      </w:pPr>
      <w:bookmarkStart w:id="14" w:name="_Toc26593"/>
      <w:bookmarkStart w:id="15" w:name="_Toc5497"/>
      <w:bookmarkStart w:id="16" w:name="_Toc68703845"/>
      <w:r>
        <w:rPr>
          <w:rFonts w:hint="eastAsia" w:ascii="仿宋_GB2312" w:hAnsi="黑体" w:cs="仿宋"/>
          <w:b/>
          <w:bCs/>
          <w:szCs w:val="30"/>
        </w:rPr>
        <w:t>七、有关建议</w:t>
      </w:r>
      <w:bookmarkEnd w:id="14"/>
      <w:bookmarkEnd w:id="15"/>
      <w:bookmarkEnd w:id="16"/>
    </w:p>
    <w:p>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pPr>
        <w:spacing w:line="360" w:lineRule="auto"/>
        <w:rPr>
          <w:rFonts w:ascii="仿宋_GB2312" w:hAnsi="黑体" w:cs="仿宋"/>
          <w:szCs w:val="30"/>
        </w:rPr>
      </w:pPr>
    </w:p>
    <w:p>
      <w:pPr>
        <w:keepNext/>
        <w:keepLines/>
        <w:spacing w:before="340" w:after="330" w:line="360" w:lineRule="auto"/>
        <w:outlineLvl w:val="0"/>
        <w:rPr>
          <w:rFonts w:ascii="仿宋_GB2312" w:hAnsi="黑体" w:cs="仿宋"/>
          <w:b/>
          <w:bCs/>
          <w:szCs w:val="30"/>
        </w:rPr>
      </w:pPr>
      <w:bookmarkStart w:id="17" w:name="_Toc68703846"/>
      <w:bookmarkStart w:id="18" w:name="_Toc12628"/>
      <w:bookmarkStart w:id="19" w:name="_Toc11577"/>
      <w:r>
        <w:rPr>
          <w:rFonts w:hint="eastAsia" w:ascii="仿宋_GB2312" w:hAnsi="黑体" w:cs="仿宋"/>
          <w:b/>
          <w:bCs/>
          <w:szCs w:val="30"/>
        </w:rPr>
        <w:t>八、其他需要说明的问题</w:t>
      </w:r>
      <w:bookmarkEnd w:id="17"/>
      <w:bookmarkEnd w:id="18"/>
      <w:bookmarkEnd w:id="19"/>
    </w:p>
    <w:p>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rPr>
        <w:t>本</w:t>
      </w:r>
      <w:r>
        <w:rPr>
          <w:rFonts w:hint="eastAsia" w:ascii="仿宋_GB2312" w:hAnsi="黑体" w:cs="仿宋"/>
          <w:szCs w:val="30"/>
          <w:lang w:eastAsia="zh-CN"/>
        </w:rPr>
        <w:t>项目部分间接产生的效果无法准确在短期内衡量，因此很难认定项目产生的全部效果。通过指标来反映绩效，指标的科学性和全面性需要不断地完善和研究。</w:t>
      </w:r>
    </w:p>
    <w:p>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lang w:eastAsia="zh-CN"/>
        </w:rPr>
        <w:t>我单位对上述项目支出绩效评价报告内反应的真实性、完整性负责，接收上级部门及社会公众监督。</w:t>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jc w:val="center"/>
        <w:rPr>
          <w:b/>
          <w:bCs/>
        </w:rPr>
      </w:pPr>
      <w:r>
        <w:rPr>
          <w:rFonts w:hint="eastAsia"/>
          <w:b/>
          <w:bCs/>
        </w:rPr>
        <w:t>项目支出绩效评价指标体系框架（参考）</w:t>
      </w:r>
    </w:p>
    <w:p>
      <w:pPr>
        <w:rPr>
          <w:b/>
          <w:bCs/>
        </w:rPr>
      </w:pPr>
    </w:p>
    <w:tbl>
      <w:tblPr>
        <w:tblStyle w:val="9"/>
        <w:tblW w:w="1572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p>
            <w:pPr>
              <w:rPr>
                <w:sz w:val="24"/>
                <w:highlight w:val="cyan"/>
              </w:rPr>
            </w:pPr>
            <w:r>
              <w:rPr>
                <w:rFonts w:hint="eastAsia"/>
                <w:sz w:val="24"/>
                <w:highlight w:val="cyan"/>
              </w:rPr>
              <w:t>　</w:t>
            </w:r>
          </w:p>
          <w:p>
            <w:pPr>
              <w:rPr>
                <w:sz w:val="24"/>
                <w:highlight w:val="cyan"/>
              </w:rPr>
            </w:pPr>
            <w:r>
              <w:rPr>
                <w:rFonts w:hint="eastAsia"/>
                <w:sz w:val="24"/>
                <w:highlight w:val="cyan"/>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立项依据</w:t>
            </w:r>
          </w:p>
          <w:p>
            <w:pPr>
              <w:rPr>
                <w:sz w:val="24"/>
                <w:highlight w:val="cyan"/>
              </w:rPr>
            </w:pPr>
            <w:r>
              <w:rPr>
                <w:rFonts w:hint="eastAsia"/>
                <w:sz w:val="24"/>
                <w:highlight w:val="cyan"/>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highlight w:val="cyan"/>
              </w:rPr>
            </w:pPr>
            <w:r>
              <w:rPr>
                <w:rFonts w:hint="eastAsia"/>
                <w:sz w:val="24"/>
                <w:highlight w:val="cyan"/>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①项目立项是否符合国家法律法规、国民经济发展规划和相关政策；</w:t>
            </w:r>
            <w:r>
              <w:rPr>
                <w:rFonts w:hint="eastAsia"/>
                <w:sz w:val="24"/>
                <w:highlight w:val="cyan"/>
              </w:rPr>
              <w:br w:type="textWrapping"/>
            </w:r>
            <w:r>
              <w:rPr>
                <w:rFonts w:hint="eastAsia"/>
                <w:sz w:val="24"/>
                <w:highlight w:val="cyan"/>
              </w:rPr>
              <w:t>②项目立项是否符合行业发展规划和政策要求；</w:t>
            </w:r>
            <w:r>
              <w:rPr>
                <w:rFonts w:hint="eastAsia"/>
                <w:sz w:val="24"/>
                <w:highlight w:val="cyan"/>
              </w:rPr>
              <w:br w:type="textWrapping"/>
            </w:r>
            <w:r>
              <w:rPr>
                <w:rFonts w:hint="eastAsia"/>
                <w:sz w:val="24"/>
                <w:highlight w:val="cyan"/>
              </w:rPr>
              <w:t>③项目立项是否与部门职责范围相符，属于部门履职所需；</w:t>
            </w:r>
            <w:r>
              <w:rPr>
                <w:rFonts w:hint="eastAsia"/>
                <w:sz w:val="24"/>
                <w:highlight w:val="cyan"/>
              </w:rPr>
              <w:br w:type="textWrapping"/>
            </w:r>
            <w:r>
              <w:rPr>
                <w:rFonts w:hint="eastAsia"/>
                <w:sz w:val="24"/>
                <w:highlight w:val="cyan"/>
              </w:rPr>
              <w:t>④项目是否属于公共财政支持范围，是否符合中央、地方事权支出责任划分原则；</w:t>
            </w:r>
            <w:r>
              <w:rPr>
                <w:rFonts w:hint="eastAsia"/>
                <w:sz w:val="24"/>
                <w:highlight w:val="cyan"/>
              </w:rPr>
              <w:br w:type="textWrapping"/>
            </w:r>
            <w:r>
              <w:rPr>
                <w:rFonts w:hint="eastAsia"/>
                <w:sz w:val="24"/>
                <w:highlight w:val="cyan"/>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立项程序</w:t>
            </w:r>
          </w:p>
          <w:p>
            <w:pPr>
              <w:rPr>
                <w:sz w:val="24"/>
                <w:highlight w:val="cyan"/>
              </w:rPr>
            </w:pPr>
            <w:r>
              <w:rPr>
                <w:rFonts w:hint="eastAsia"/>
                <w:sz w:val="24"/>
                <w:highlight w:val="cyan"/>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①项目是否按照规定的程序申请设立；</w:t>
            </w:r>
            <w:r>
              <w:rPr>
                <w:rFonts w:hint="eastAsia"/>
                <w:sz w:val="24"/>
                <w:highlight w:val="cyan"/>
              </w:rPr>
              <w:br w:type="textWrapping"/>
            </w:r>
            <w:r>
              <w:rPr>
                <w:rFonts w:hint="eastAsia"/>
                <w:sz w:val="24"/>
                <w:highlight w:val="cyan"/>
              </w:rPr>
              <w:t>②审批文件、材料是否符合相关要求；</w:t>
            </w:r>
            <w:r>
              <w:rPr>
                <w:rFonts w:hint="eastAsia"/>
                <w:sz w:val="24"/>
                <w:highlight w:val="cyan"/>
              </w:rPr>
              <w:br w:type="textWrapping"/>
            </w:r>
            <w:r>
              <w:rPr>
                <w:rFonts w:hint="eastAsia"/>
                <w:sz w:val="24"/>
                <w:highlight w:val="cyan"/>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（如未设定预算绩效目标，也可考核其他工作任务目标）</w:t>
            </w:r>
            <w:r>
              <w:rPr>
                <w:rFonts w:hint="eastAsia"/>
                <w:sz w:val="24"/>
                <w:highlight w:val="cyan"/>
              </w:rPr>
              <w:br w:type="textWrapping"/>
            </w:r>
            <w:r>
              <w:rPr>
                <w:rFonts w:hint="eastAsia"/>
                <w:sz w:val="24"/>
                <w:highlight w:val="cyan"/>
              </w:rPr>
              <w:t>①项目是否有绩效目标；</w:t>
            </w:r>
            <w:r>
              <w:rPr>
                <w:rFonts w:hint="eastAsia"/>
                <w:sz w:val="24"/>
                <w:highlight w:val="cyan"/>
              </w:rPr>
              <w:br w:type="textWrapping"/>
            </w:r>
            <w:r>
              <w:rPr>
                <w:rFonts w:hint="eastAsia"/>
                <w:sz w:val="24"/>
                <w:highlight w:val="cyan"/>
              </w:rPr>
              <w:t>②项目绩效目标与实际工作内容是否具有相关性；</w:t>
            </w:r>
            <w:r>
              <w:rPr>
                <w:rFonts w:hint="eastAsia"/>
                <w:sz w:val="24"/>
                <w:highlight w:val="cyan"/>
              </w:rPr>
              <w:br w:type="textWrapping"/>
            </w:r>
            <w:r>
              <w:rPr>
                <w:rFonts w:hint="eastAsia"/>
                <w:sz w:val="24"/>
                <w:highlight w:val="cyan"/>
              </w:rPr>
              <w:t>③项目预期产出效益和效果是否符合正常的业绩水平；</w:t>
            </w:r>
          </w:p>
          <w:p>
            <w:pPr>
              <w:rPr>
                <w:sz w:val="24"/>
                <w:highlight w:val="cyan"/>
              </w:rPr>
            </w:pPr>
            <w:r>
              <w:rPr>
                <w:rFonts w:hint="eastAsia"/>
                <w:sz w:val="24"/>
                <w:highlight w:val="cyan"/>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绩效指标</w:t>
            </w:r>
          </w:p>
          <w:p>
            <w:pPr>
              <w:rPr>
                <w:sz w:val="24"/>
                <w:highlight w:val="cyan"/>
              </w:rPr>
            </w:pPr>
            <w:r>
              <w:rPr>
                <w:rFonts w:hint="eastAsia"/>
                <w:sz w:val="24"/>
                <w:highlight w:val="cyan"/>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①是否将项目绩效目标细化分解为具体的绩效指标；</w:t>
            </w:r>
            <w:r>
              <w:rPr>
                <w:rFonts w:hint="eastAsia"/>
                <w:sz w:val="24"/>
                <w:highlight w:val="cyan"/>
              </w:rPr>
              <w:br w:type="textWrapping"/>
            </w:r>
            <w:r>
              <w:rPr>
                <w:rFonts w:hint="eastAsia"/>
                <w:sz w:val="24"/>
                <w:highlight w:val="cyan"/>
              </w:rPr>
              <w:t>②是否通过清晰、可衡量的指标值予以体现；</w:t>
            </w:r>
            <w:r>
              <w:rPr>
                <w:rFonts w:hint="eastAsia"/>
                <w:sz w:val="24"/>
                <w:highlight w:val="cyan"/>
              </w:rPr>
              <w:br w:type="textWrapping"/>
            </w:r>
            <w:r>
              <w:rPr>
                <w:rFonts w:hint="eastAsia"/>
                <w:sz w:val="24"/>
                <w:highlight w:val="cyan"/>
              </w:rPr>
              <w:t>③是否与项目目标任务数或计划数相对应。</w:t>
            </w:r>
            <w:r>
              <w:rPr>
                <w:rFonts w:hint="eastAsia"/>
                <w:sz w:val="24"/>
                <w:highlight w:val="cyan"/>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资金投入</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预算编制</w:t>
            </w:r>
          </w:p>
          <w:p>
            <w:pPr>
              <w:rPr>
                <w:sz w:val="24"/>
                <w:highlight w:val="cyan"/>
              </w:rPr>
            </w:pPr>
            <w:r>
              <w:rPr>
                <w:rFonts w:hint="eastAsia"/>
                <w:sz w:val="24"/>
                <w:highlight w:val="cyan"/>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①预算编制是否经过科学论证；</w:t>
            </w:r>
            <w:r>
              <w:rPr>
                <w:rFonts w:hint="eastAsia"/>
                <w:sz w:val="24"/>
                <w:highlight w:val="cyan"/>
              </w:rPr>
              <w:br w:type="textWrapping"/>
            </w:r>
            <w:r>
              <w:rPr>
                <w:rFonts w:hint="eastAsia"/>
                <w:sz w:val="24"/>
                <w:highlight w:val="cyan"/>
              </w:rPr>
              <w:t>②预算内容与项目内容是否匹配；</w:t>
            </w:r>
            <w:r>
              <w:rPr>
                <w:rFonts w:hint="eastAsia"/>
                <w:sz w:val="24"/>
                <w:highlight w:val="cyan"/>
              </w:rPr>
              <w:br w:type="textWrapping"/>
            </w:r>
            <w:r>
              <w:rPr>
                <w:rFonts w:hint="eastAsia"/>
                <w:sz w:val="24"/>
                <w:highlight w:val="cyan"/>
              </w:rPr>
              <w:t>③预算额度测算依据是否充分，是否按照标准编制；</w:t>
            </w:r>
            <w:r>
              <w:rPr>
                <w:rFonts w:hint="eastAsia"/>
                <w:sz w:val="24"/>
                <w:highlight w:val="cyan"/>
              </w:rPr>
              <w:br w:type="textWrapping"/>
            </w:r>
            <w:r>
              <w:rPr>
                <w:rFonts w:hint="eastAsia"/>
                <w:sz w:val="24"/>
                <w:highlight w:val="cyan"/>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资金分配</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①预算资金分配依据是否充分；</w:t>
            </w:r>
            <w:r>
              <w:rPr>
                <w:rFonts w:hint="eastAsia"/>
                <w:sz w:val="24"/>
                <w:highlight w:val="cyan"/>
              </w:rPr>
              <w:br w:type="textWrapping"/>
            </w:r>
            <w:r>
              <w:rPr>
                <w:rFonts w:hint="eastAsia"/>
                <w:sz w:val="24"/>
                <w:highlight w:val="cyan"/>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资金到位率=（实际到位资金/预算资金）×100%。</w:t>
            </w:r>
          </w:p>
          <w:p>
            <w:pPr>
              <w:rPr>
                <w:sz w:val="24"/>
                <w:highlight w:val="cyan"/>
              </w:rPr>
            </w:pPr>
            <w:r>
              <w:rPr>
                <w:rFonts w:hint="eastAsia"/>
                <w:sz w:val="24"/>
                <w:highlight w:val="cyan"/>
              </w:rPr>
              <w:t>实际到位资金：一定时期（本年度或项目期）内落实到具体项目的资金。</w:t>
            </w:r>
          </w:p>
          <w:p>
            <w:pPr>
              <w:rPr>
                <w:sz w:val="24"/>
                <w:highlight w:val="cyan"/>
              </w:rPr>
            </w:pPr>
            <w:r>
              <w:rPr>
                <w:rFonts w:hint="eastAsia"/>
                <w:sz w:val="24"/>
                <w:highlight w:val="cyan"/>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预算执行率=（实际支出资金/实际到位资金）×100%。</w:t>
            </w:r>
            <w:r>
              <w:rPr>
                <w:rFonts w:hint="eastAsia"/>
                <w:sz w:val="24"/>
                <w:highlight w:val="cyan"/>
              </w:rPr>
              <w:br w:type="textWrapping"/>
            </w:r>
            <w:r>
              <w:rPr>
                <w:rFonts w:hint="eastAsia"/>
                <w:sz w:val="24"/>
                <w:highlight w:val="cyan"/>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　</w:t>
            </w:r>
          </w:p>
          <w:p>
            <w:pPr>
              <w:rPr>
                <w:sz w:val="24"/>
                <w:highlight w:val="cyan"/>
              </w:rPr>
            </w:pPr>
            <w:r>
              <w:rPr>
                <w:rFonts w:hint="eastAsia"/>
                <w:sz w:val="24"/>
                <w:highlight w:val="cyan"/>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资金使用</w:t>
            </w:r>
          </w:p>
          <w:p>
            <w:pPr>
              <w:rPr>
                <w:sz w:val="24"/>
                <w:highlight w:val="cyan"/>
              </w:rPr>
            </w:pPr>
            <w:r>
              <w:rPr>
                <w:rFonts w:hint="eastAsia"/>
                <w:sz w:val="24"/>
                <w:highlight w:val="cyan"/>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①是否符合国家财经法规和财务管理制度以及有关专项资金管理办法的规定；</w:t>
            </w:r>
            <w:r>
              <w:rPr>
                <w:rFonts w:hint="eastAsia"/>
                <w:sz w:val="24"/>
                <w:highlight w:val="cyan"/>
              </w:rPr>
              <w:br w:type="textWrapping"/>
            </w:r>
            <w:r>
              <w:rPr>
                <w:rFonts w:hint="eastAsia"/>
                <w:sz w:val="24"/>
                <w:highlight w:val="cyan"/>
              </w:rPr>
              <w:t>②资金的拨付是否有完整的审批程序和手续；</w:t>
            </w:r>
            <w:r>
              <w:rPr>
                <w:rFonts w:hint="eastAsia"/>
                <w:sz w:val="24"/>
                <w:highlight w:val="cyan"/>
              </w:rPr>
              <w:br w:type="textWrapping"/>
            </w:r>
            <w:r>
              <w:rPr>
                <w:rFonts w:hint="eastAsia"/>
                <w:sz w:val="24"/>
                <w:highlight w:val="cyan"/>
              </w:rPr>
              <w:t>③是否符合项目预算批复或合同规定的用途；</w:t>
            </w:r>
            <w:r>
              <w:rPr>
                <w:rFonts w:hint="eastAsia"/>
                <w:sz w:val="24"/>
                <w:highlight w:val="cyan"/>
              </w:rPr>
              <w:br w:type="textWrapping"/>
            </w:r>
            <w:r>
              <w:rPr>
                <w:rFonts w:hint="eastAsia"/>
                <w:sz w:val="24"/>
                <w:highlight w:val="cyan"/>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组织实施</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管理制度</w:t>
            </w:r>
          </w:p>
          <w:p>
            <w:pPr>
              <w:rPr>
                <w:sz w:val="24"/>
                <w:highlight w:val="cyan"/>
              </w:rPr>
            </w:pPr>
            <w:r>
              <w:rPr>
                <w:rFonts w:hint="eastAsia"/>
                <w:sz w:val="24"/>
                <w:highlight w:val="cyan"/>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①是否已制定或具有相应的财务和业务管理制度；</w:t>
            </w:r>
            <w:r>
              <w:rPr>
                <w:rFonts w:hint="eastAsia"/>
                <w:sz w:val="24"/>
                <w:highlight w:val="cyan"/>
              </w:rPr>
              <w:br w:type="textWrapping"/>
            </w:r>
            <w:r>
              <w:rPr>
                <w:rFonts w:hint="eastAsia"/>
                <w:sz w:val="24"/>
                <w:highlight w:val="cyan"/>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制度执行</w:t>
            </w:r>
          </w:p>
          <w:p>
            <w:pPr>
              <w:rPr>
                <w:sz w:val="24"/>
                <w:highlight w:val="cyan"/>
              </w:rPr>
            </w:pPr>
            <w:r>
              <w:rPr>
                <w:rFonts w:hint="eastAsia"/>
                <w:sz w:val="24"/>
                <w:highlight w:val="cyan"/>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①是否遵守相关法律法规和相关管理规定；</w:t>
            </w:r>
            <w:r>
              <w:rPr>
                <w:rFonts w:hint="eastAsia"/>
                <w:sz w:val="24"/>
                <w:highlight w:val="cyan"/>
              </w:rPr>
              <w:br w:type="textWrapping"/>
            </w:r>
            <w:r>
              <w:rPr>
                <w:rFonts w:hint="eastAsia"/>
                <w:sz w:val="24"/>
                <w:highlight w:val="cyan"/>
              </w:rPr>
              <w:t>②项目调整及支出调整手续是否完备；</w:t>
            </w:r>
            <w:r>
              <w:rPr>
                <w:rFonts w:hint="eastAsia"/>
                <w:sz w:val="24"/>
                <w:highlight w:val="cyan"/>
              </w:rPr>
              <w:br w:type="textWrapping"/>
            </w:r>
            <w:r>
              <w:rPr>
                <w:rFonts w:hint="eastAsia"/>
                <w:sz w:val="24"/>
                <w:highlight w:val="cyan"/>
              </w:rPr>
              <w:t>③项目合同书、验收报告、技术鉴定等资料是否齐全并及时归档；</w:t>
            </w:r>
            <w:r>
              <w:rPr>
                <w:rFonts w:hint="eastAsia"/>
                <w:sz w:val="24"/>
                <w:highlight w:val="cyan"/>
              </w:rPr>
              <w:br w:type="textWrapping"/>
            </w:r>
            <w:r>
              <w:rPr>
                <w:rFonts w:hint="eastAsia"/>
                <w:sz w:val="24"/>
                <w:highlight w:val="cyan"/>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实际完成率=（实际产出数/计划产出数）×100%。</w:t>
            </w:r>
            <w:r>
              <w:rPr>
                <w:rFonts w:hint="eastAsia"/>
                <w:sz w:val="24"/>
                <w:highlight w:val="cyan"/>
              </w:rPr>
              <w:br w:type="textWrapping"/>
            </w:r>
            <w:r>
              <w:rPr>
                <w:rFonts w:hint="eastAsia"/>
                <w:sz w:val="24"/>
                <w:highlight w:val="cyan"/>
              </w:rPr>
              <w:t>实际产出数：一定时期（本年度或项目期）内项目实际产出的产品或提供的服务数量。</w:t>
            </w:r>
            <w:r>
              <w:rPr>
                <w:rFonts w:hint="eastAsia"/>
                <w:sz w:val="24"/>
                <w:highlight w:val="cyan"/>
              </w:rPr>
              <w:br w:type="textWrapping"/>
            </w:r>
            <w:r>
              <w:rPr>
                <w:rFonts w:hint="eastAsia"/>
                <w:sz w:val="24"/>
                <w:highlight w:val="cyan"/>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质量达标率=（质量达标产出数/实际产出数）×100%。</w:t>
            </w:r>
          </w:p>
          <w:p>
            <w:pPr>
              <w:rPr>
                <w:sz w:val="24"/>
                <w:highlight w:val="cyan"/>
              </w:rPr>
            </w:pPr>
            <w:r>
              <w:rPr>
                <w:rFonts w:hint="eastAsia"/>
                <w:sz w:val="24"/>
                <w:highlight w:val="cya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实际完成时间：项目实施单位完成该项目实际所耗用的时间。</w:t>
            </w:r>
            <w:r>
              <w:rPr>
                <w:rFonts w:hint="eastAsia"/>
                <w:sz w:val="24"/>
                <w:highlight w:val="cyan"/>
              </w:rPr>
              <w:br w:type="textWrapping"/>
            </w:r>
            <w:r>
              <w:rPr>
                <w:rFonts w:hint="eastAsia"/>
                <w:sz w:val="24"/>
                <w:highlight w:val="cyan"/>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br w:type="textWrapping"/>
            </w:r>
            <w:r>
              <w:rPr>
                <w:rFonts w:hint="eastAsia"/>
                <w:sz w:val="24"/>
                <w:highlight w:val="cyan"/>
              </w:rPr>
              <w:t>成本节约率=[（计划成本-实际成本）/计划成本]×100%。</w:t>
            </w:r>
            <w:r>
              <w:rPr>
                <w:rFonts w:hint="eastAsia"/>
                <w:sz w:val="24"/>
                <w:highlight w:val="cyan"/>
              </w:rPr>
              <w:br w:type="textWrapping"/>
            </w:r>
            <w:r>
              <w:rPr>
                <w:rFonts w:hint="eastAsia"/>
                <w:sz w:val="24"/>
                <w:highlight w:val="cyan"/>
              </w:rPr>
              <w:t>实际成本：项目实施单位如期、保质、保量完成既定工作目标实际所耗费的支出。</w:t>
            </w:r>
            <w:r>
              <w:rPr>
                <w:rFonts w:hint="eastAsia"/>
                <w:sz w:val="24"/>
                <w:highlight w:val="cyan"/>
              </w:rPr>
              <w:br w:type="textWrapping"/>
            </w:r>
            <w:r>
              <w:rPr>
                <w:rFonts w:hint="eastAsia"/>
                <w:sz w:val="24"/>
                <w:highlight w:val="cyan"/>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eastAsia" w:eastAsia="仿宋_GB2312"/>
                <w:sz w:val="24"/>
                <w:highlight w:val="cyan"/>
                <w:lang w:val="en-US" w:eastAsia="zh-CN"/>
              </w:rPr>
            </w:pPr>
            <w:r>
              <w:rPr>
                <w:rFonts w:hint="eastAsia"/>
                <w:sz w:val="24"/>
                <w:highlight w:val="cyan"/>
              </w:rPr>
              <w:t>项目实施所产生的社会效益、经济效益、生态效益、可持续影响等。可根据项目实际情况有选择地设置和细化。</w:t>
            </w:r>
            <w:r>
              <w:rPr>
                <w:rFonts w:hint="eastAsia"/>
                <w:sz w:val="24"/>
                <w:highlight w:val="cyan"/>
                <w:lang w:val="en-US" w:eastAsia="zh-CN"/>
              </w:rPr>
              <w:t>8</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highlight w:val="cyan"/>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lang w:val="en-US" w:eastAsia="zh-CN"/>
              </w:rPr>
            </w:pPr>
            <w:r>
              <w:rPr>
                <w:rFonts w:hint="eastAsia"/>
                <w:sz w:val="24"/>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lang w:val="en-US" w:eastAsia="zh-CN"/>
              </w:rPr>
            </w:pPr>
            <w:r>
              <w:rPr>
                <w:rFonts w:hint="eastAsia"/>
                <w:sz w:val="24"/>
                <w:lang w:val="en-US" w:eastAsia="zh-CN"/>
              </w:rPr>
              <w:t>9</w:t>
            </w:r>
          </w:p>
        </w:tc>
      </w:tr>
    </w:tbl>
    <w:p/>
    <w:p/>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91</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F2895"/>
    <w:multiLevelType w:val="singleLevel"/>
    <w:tmpl w:val="228F2895"/>
    <w:lvl w:ilvl="0" w:tentative="0">
      <w:start w:val="2"/>
      <w:numFmt w:val="chineseCounting"/>
      <w:suff w:val="nothing"/>
      <w:lvlText w:val="（%1）"/>
      <w:lvlJc w:val="left"/>
      <w:rPr>
        <w:rFonts w:hint="eastAsia"/>
      </w:rPr>
    </w:lvl>
  </w:abstractNum>
  <w:abstractNum w:abstractNumId="1">
    <w:nsid w:val="490BB0AD"/>
    <w:multiLevelType w:val="singleLevel"/>
    <w:tmpl w:val="490BB0AD"/>
    <w:lvl w:ilvl="0" w:tentative="0">
      <w:start w:val="1"/>
      <w:numFmt w:val="decimal"/>
      <w:lvlText w:val="%1."/>
      <w:lvlJc w:val="left"/>
      <w:pPr>
        <w:tabs>
          <w:tab w:val="left" w:pos="312"/>
        </w:tabs>
      </w:pPr>
    </w:lvl>
  </w:abstractNum>
  <w:abstractNum w:abstractNumId="2">
    <w:nsid w:val="7B425C79"/>
    <w:multiLevelType w:val="multilevel"/>
    <w:tmpl w:val="7B425C79"/>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 w:name="KSO_WPS_MARK_KEY" w:val="77b0876f-d7e5-47e0-b364-7e8474a672e7"/>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5B48CF"/>
    <w:rsid w:val="0188664C"/>
    <w:rsid w:val="02A64E64"/>
    <w:rsid w:val="03EE0393"/>
    <w:rsid w:val="048055BA"/>
    <w:rsid w:val="0561420C"/>
    <w:rsid w:val="071D146C"/>
    <w:rsid w:val="07A76A56"/>
    <w:rsid w:val="0AA779EE"/>
    <w:rsid w:val="0B5A1ED7"/>
    <w:rsid w:val="0C2B637B"/>
    <w:rsid w:val="0C6D6428"/>
    <w:rsid w:val="0D2B1105"/>
    <w:rsid w:val="0F6803D0"/>
    <w:rsid w:val="108233F1"/>
    <w:rsid w:val="12A27851"/>
    <w:rsid w:val="12B658FD"/>
    <w:rsid w:val="13A67423"/>
    <w:rsid w:val="14620830"/>
    <w:rsid w:val="14F86038"/>
    <w:rsid w:val="15D9041A"/>
    <w:rsid w:val="16EF3AC8"/>
    <w:rsid w:val="17A26E89"/>
    <w:rsid w:val="18420856"/>
    <w:rsid w:val="1C6E443A"/>
    <w:rsid w:val="1CD045FC"/>
    <w:rsid w:val="1D4F1003"/>
    <w:rsid w:val="1F6E6595"/>
    <w:rsid w:val="22816122"/>
    <w:rsid w:val="280367A8"/>
    <w:rsid w:val="29486969"/>
    <w:rsid w:val="2D1B3AA3"/>
    <w:rsid w:val="2E807F37"/>
    <w:rsid w:val="2EFD1203"/>
    <w:rsid w:val="2F987092"/>
    <w:rsid w:val="3060057B"/>
    <w:rsid w:val="31F27767"/>
    <w:rsid w:val="34112C8B"/>
    <w:rsid w:val="349B2DEA"/>
    <w:rsid w:val="34FD5772"/>
    <w:rsid w:val="37311A0D"/>
    <w:rsid w:val="39DD2370"/>
    <w:rsid w:val="3B0F3E35"/>
    <w:rsid w:val="3BA44787"/>
    <w:rsid w:val="3C11164F"/>
    <w:rsid w:val="3DAD6AEB"/>
    <w:rsid w:val="3FF608E9"/>
    <w:rsid w:val="40024D7D"/>
    <w:rsid w:val="42534FF7"/>
    <w:rsid w:val="43A40440"/>
    <w:rsid w:val="44865243"/>
    <w:rsid w:val="44A91191"/>
    <w:rsid w:val="466F5760"/>
    <w:rsid w:val="47C40B28"/>
    <w:rsid w:val="493D70D8"/>
    <w:rsid w:val="4A1819E5"/>
    <w:rsid w:val="4A5B1412"/>
    <w:rsid w:val="4AF2130F"/>
    <w:rsid w:val="4B435C02"/>
    <w:rsid w:val="4CEC7ECD"/>
    <w:rsid w:val="4D2E27FB"/>
    <w:rsid w:val="4D410B91"/>
    <w:rsid w:val="4FC41A93"/>
    <w:rsid w:val="52701D54"/>
    <w:rsid w:val="527D15B4"/>
    <w:rsid w:val="5A9E3103"/>
    <w:rsid w:val="5B493004"/>
    <w:rsid w:val="606F1470"/>
    <w:rsid w:val="609756E6"/>
    <w:rsid w:val="61A73AD5"/>
    <w:rsid w:val="61E6050F"/>
    <w:rsid w:val="62344060"/>
    <w:rsid w:val="62B952F6"/>
    <w:rsid w:val="646B6624"/>
    <w:rsid w:val="6477218E"/>
    <w:rsid w:val="65445252"/>
    <w:rsid w:val="65B8702E"/>
    <w:rsid w:val="69065A60"/>
    <w:rsid w:val="69126A56"/>
    <w:rsid w:val="697A41BF"/>
    <w:rsid w:val="69C44DAE"/>
    <w:rsid w:val="70E32F23"/>
    <w:rsid w:val="729B1F2F"/>
    <w:rsid w:val="73A31E01"/>
    <w:rsid w:val="74E91D04"/>
    <w:rsid w:val="755D07B9"/>
    <w:rsid w:val="791628F2"/>
    <w:rsid w:val="7B3B229C"/>
    <w:rsid w:val="7B8B5232"/>
    <w:rsid w:val="7EAD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25</Pages>
  <Words>9092</Words>
  <Characters>9589</Characters>
  <Lines>87</Lines>
  <Paragraphs>24</Paragraphs>
  <TotalTime>1</TotalTime>
  <ScaleCrop>false</ScaleCrop>
  <LinksUpToDate>false</LinksUpToDate>
  <CharactersWithSpaces>9642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2025-04-22T05:16:07Z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0FAAF244F39A45C9BAC2FE3A90E379AC_13</vt:lpwstr>
  </property>
  <property fmtid="{D5CDD505-2E9C-101B-9397-08002B2CF9AE}" pid="4" name="KSOTemplateDocerSaveRecord">
    <vt:lpwstr>eyJoZGlkIjoiMzEwNTM5NzYwMDRjMzkwZTVkZjY2ODkwMGIxNGU0OTUiLCJ1c2VySWQiOiIxMTcxMDQ1MzEwIn0=</vt:lpwstr>
  </property>
</Properties>
</file>